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rPr>
          <w:rFonts w:ascii="Times New Roman" w:hAnsi="Times New Roman"/>
          <w:b/>
          <w:bCs/>
          <w:color w:val="000000"/>
          <w:kern w:val="0"/>
          <w:sz w:val="24"/>
          <w:szCs w:val="24"/>
        </w:rPr>
      </w:pPr>
    </w:p>
    <w:p>
      <w:pPr>
        <w:ind w:firstLine="0" w:firstLineChars="0"/>
        <w:rPr>
          <w:rFonts w:ascii="Times New Roman" w:hAnsi="Times New Roman"/>
          <w:b/>
          <w:bCs/>
          <w:color w:val="000000"/>
          <w:kern w:val="0"/>
          <w:sz w:val="24"/>
          <w:szCs w:val="24"/>
        </w:rPr>
      </w:pPr>
    </w:p>
    <w:p>
      <w:pPr>
        <w:ind w:firstLine="0" w:firstLineChars="0"/>
        <w:rPr>
          <w:rFonts w:ascii="Times New Roman" w:hAnsi="Times New Roman"/>
          <w:b/>
          <w:bCs/>
          <w:color w:val="000000"/>
          <w:kern w:val="0"/>
          <w:sz w:val="24"/>
          <w:szCs w:val="24"/>
        </w:rPr>
      </w:pPr>
    </w:p>
    <w:p>
      <w:pPr>
        <w:ind w:firstLine="0" w:firstLineChars="0"/>
        <w:jc w:val="center"/>
        <w:rPr>
          <w:rFonts w:ascii="Times New Roman" w:hAnsi="Times New Roman"/>
          <w:b/>
          <w:bCs/>
          <w:color w:val="000000"/>
          <w:kern w:val="0"/>
          <w:sz w:val="52"/>
          <w:szCs w:val="52"/>
        </w:rPr>
      </w:pPr>
      <w:r>
        <w:rPr>
          <w:rFonts w:ascii="Times New Roman" w:hAnsi="Times New Roman"/>
          <w:b/>
          <w:bCs/>
          <w:color w:val="000000"/>
          <w:kern w:val="0"/>
          <w:sz w:val="52"/>
          <w:szCs w:val="52"/>
        </w:rPr>
        <w:t>项目绩效自评报告</w:t>
      </w:r>
    </w:p>
    <w:p>
      <w:pPr>
        <w:pStyle w:val="4"/>
        <w:widowControl/>
        <w:shd w:val="clear" w:color="auto" w:fill="FFFFFF"/>
        <w:ind w:firstLine="0" w:firstLineChars="0"/>
        <w:jc w:val="center"/>
        <w:rPr>
          <w:rFonts w:hint="default" w:ascii="Times New Roman" w:hAnsi="Times New Roman" w:eastAsia="仿宋"/>
          <w:b/>
          <w:bCs/>
          <w:color w:val="000000"/>
          <w:sz w:val="36"/>
          <w:szCs w:val="36"/>
        </w:rPr>
      </w:pPr>
      <w:r>
        <w:rPr>
          <w:rFonts w:hint="default" w:ascii="Times New Roman" w:hAnsi="Times New Roman" w:eastAsia="仿宋"/>
          <w:b/>
          <w:bCs/>
          <w:color w:val="000000"/>
          <w:sz w:val="36"/>
          <w:szCs w:val="36"/>
        </w:rPr>
        <w:t>（</w:t>
      </w:r>
      <w:r>
        <w:rPr>
          <w:rFonts w:hint="default" w:ascii="Times New Roman" w:hAnsi="Times New Roman" w:eastAsia="仿宋"/>
          <w:b/>
          <w:sz w:val="44"/>
          <w:szCs w:val="44"/>
        </w:rPr>
        <w:t>202</w:t>
      </w:r>
      <w:r>
        <w:rPr>
          <w:rFonts w:hint="eastAsia" w:ascii="Times New Roman" w:hAnsi="Times New Roman" w:eastAsia="仿宋"/>
          <w:b/>
          <w:sz w:val="44"/>
          <w:szCs w:val="44"/>
          <w:lang w:val="en-US" w:eastAsia="zh-CN"/>
        </w:rPr>
        <w:t>3</w:t>
      </w:r>
      <w:r>
        <w:rPr>
          <w:rFonts w:hint="default" w:ascii="Times New Roman" w:hAnsi="Times New Roman" w:eastAsia="仿宋"/>
          <w:b/>
          <w:bCs/>
          <w:color w:val="000000"/>
          <w:sz w:val="36"/>
          <w:szCs w:val="36"/>
        </w:rPr>
        <w:t>年度）</w:t>
      </w:r>
    </w:p>
    <w:p>
      <w:pPr>
        <w:ind w:firstLine="482"/>
        <w:jc w:val="center"/>
        <w:rPr>
          <w:rFonts w:ascii="Times New Roman" w:hAnsi="Times New Roman"/>
          <w:b/>
          <w:bCs/>
          <w:color w:val="000000"/>
          <w:kern w:val="0"/>
          <w:sz w:val="24"/>
          <w:szCs w:val="24"/>
        </w:rPr>
      </w:pPr>
    </w:p>
    <w:p>
      <w:pPr>
        <w:ind w:firstLine="482"/>
        <w:jc w:val="center"/>
        <w:rPr>
          <w:rFonts w:ascii="Times New Roman" w:hAnsi="Times New Roman"/>
          <w:b/>
          <w:bCs/>
          <w:color w:val="000000"/>
          <w:kern w:val="0"/>
          <w:sz w:val="24"/>
          <w:szCs w:val="24"/>
        </w:rPr>
      </w:pPr>
    </w:p>
    <w:p>
      <w:pPr>
        <w:ind w:firstLine="482"/>
        <w:jc w:val="center"/>
        <w:rPr>
          <w:rFonts w:ascii="Times New Roman" w:hAnsi="Times New Roman"/>
          <w:b/>
          <w:bCs/>
          <w:color w:val="000000"/>
          <w:kern w:val="0"/>
          <w:sz w:val="24"/>
          <w:szCs w:val="24"/>
        </w:rPr>
      </w:pPr>
    </w:p>
    <w:p>
      <w:pPr>
        <w:ind w:firstLine="482"/>
        <w:jc w:val="center"/>
        <w:rPr>
          <w:rFonts w:ascii="Times New Roman" w:hAnsi="Times New Roman"/>
          <w:b/>
          <w:bCs/>
          <w:color w:val="000000"/>
          <w:kern w:val="0"/>
          <w:sz w:val="24"/>
          <w:szCs w:val="24"/>
        </w:rPr>
      </w:pPr>
    </w:p>
    <w:p>
      <w:pPr>
        <w:ind w:firstLine="482"/>
        <w:jc w:val="center"/>
        <w:rPr>
          <w:rFonts w:ascii="Times New Roman" w:hAnsi="Times New Roman"/>
          <w:b/>
          <w:bCs/>
          <w:color w:val="000000"/>
          <w:kern w:val="0"/>
          <w:sz w:val="24"/>
          <w:szCs w:val="24"/>
        </w:rPr>
      </w:pPr>
    </w:p>
    <w:p>
      <w:pPr>
        <w:ind w:firstLine="482"/>
        <w:jc w:val="center"/>
        <w:rPr>
          <w:rFonts w:ascii="Times New Roman" w:hAnsi="Times New Roman"/>
          <w:b/>
          <w:bCs/>
          <w:color w:val="000000"/>
          <w:kern w:val="0"/>
          <w:sz w:val="24"/>
          <w:szCs w:val="24"/>
        </w:rPr>
      </w:pPr>
    </w:p>
    <w:p>
      <w:pPr>
        <w:ind w:firstLine="482"/>
        <w:jc w:val="center"/>
        <w:rPr>
          <w:rFonts w:ascii="Times New Roman" w:hAnsi="Times New Roman"/>
          <w:b/>
          <w:bCs/>
          <w:color w:val="000000"/>
          <w:kern w:val="0"/>
          <w:sz w:val="24"/>
          <w:szCs w:val="24"/>
        </w:rPr>
      </w:pPr>
    </w:p>
    <w:p>
      <w:pPr>
        <w:ind w:firstLine="482"/>
        <w:jc w:val="center"/>
        <w:rPr>
          <w:rFonts w:ascii="Times New Roman" w:hAnsi="Times New Roman"/>
          <w:b/>
          <w:bCs/>
          <w:color w:val="000000"/>
          <w:kern w:val="0"/>
          <w:sz w:val="24"/>
          <w:szCs w:val="24"/>
        </w:rPr>
      </w:pPr>
    </w:p>
    <w:p>
      <w:pPr>
        <w:ind w:firstLine="482"/>
        <w:rPr>
          <w:rFonts w:ascii="Times New Roman" w:hAnsi="Times New Roman"/>
          <w:b/>
          <w:bCs/>
          <w:color w:val="000000"/>
          <w:kern w:val="0"/>
          <w:sz w:val="24"/>
          <w:szCs w:val="24"/>
        </w:rPr>
      </w:pPr>
    </w:p>
    <w:p>
      <w:pPr>
        <w:ind w:firstLine="482"/>
        <w:rPr>
          <w:rFonts w:ascii="Times New Roman" w:hAnsi="Times New Roman"/>
          <w:b/>
          <w:bCs/>
          <w:color w:val="000000"/>
          <w:kern w:val="0"/>
          <w:sz w:val="24"/>
          <w:szCs w:val="24"/>
        </w:rPr>
      </w:pPr>
    </w:p>
    <w:p>
      <w:pPr>
        <w:ind w:firstLine="482"/>
        <w:jc w:val="center"/>
        <w:rPr>
          <w:rFonts w:ascii="Times New Roman" w:hAnsi="Times New Roman"/>
          <w:b/>
          <w:bCs/>
          <w:color w:val="000000"/>
          <w:kern w:val="0"/>
          <w:sz w:val="24"/>
          <w:szCs w:val="24"/>
        </w:rPr>
      </w:pPr>
    </w:p>
    <w:p>
      <w:pPr>
        <w:ind w:firstLine="482"/>
        <w:jc w:val="center"/>
        <w:rPr>
          <w:rFonts w:ascii="Times New Roman" w:hAnsi="Times New Roman"/>
          <w:b/>
          <w:bCs/>
          <w:color w:val="000000"/>
          <w:kern w:val="0"/>
          <w:sz w:val="24"/>
          <w:szCs w:val="24"/>
        </w:rPr>
      </w:pPr>
    </w:p>
    <w:p>
      <w:pPr>
        <w:ind w:firstLine="482"/>
        <w:rPr>
          <w:rFonts w:ascii="Times New Roman" w:hAnsi="Times New Roman"/>
          <w:b/>
          <w:bCs/>
          <w:color w:val="000000"/>
          <w:kern w:val="0"/>
          <w:sz w:val="24"/>
          <w:szCs w:val="24"/>
        </w:rPr>
      </w:pPr>
    </w:p>
    <w:p>
      <w:pPr>
        <w:ind w:firstLine="482"/>
        <w:jc w:val="center"/>
        <w:rPr>
          <w:rFonts w:ascii="Times New Roman" w:hAnsi="Times New Roman"/>
          <w:b/>
          <w:bCs/>
          <w:color w:val="000000"/>
          <w:kern w:val="0"/>
          <w:sz w:val="24"/>
          <w:szCs w:val="24"/>
        </w:rPr>
      </w:pPr>
    </w:p>
    <w:p>
      <w:pPr>
        <w:ind w:firstLine="1606" w:firstLineChars="500"/>
        <w:rPr>
          <w:rFonts w:ascii="Times New Roman" w:hAnsi="Times New Roman"/>
          <w:b/>
          <w:bCs/>
          <w:sz w:val="32"/>
          <w:szCs w:val="32"/>
        </w:rPr>
      </w:pPr>
      <w:r>
        <w:rPr>
          <w:rFonts w:ascii="Times New Roman" w:hAnsi="Times New Roman"/>
          <w:b/>
          <w:bCs/>
          <w:sz w:val="32"/>
          <w:szCs w:val="32"/>
        </w:rPr>
        <w:t>项目名称：</w:t>
      </w:r>
      <w:r>
        <w:rPr>
          <w:rFonts w:ascii="Times New Roman" w:hAnsi="Times New Roman"/>
          <w:b/>
          <w:sz w:val="32"/>
        </w:rPr>
        <w:t>驻京工作组综合楼运行费</w:t>
      </w:r>
    </w:p>
    <w:p>
      <w:pPr>
        <w:ind w:firstLine="1606" w:firstLineChars="500"/>
        <w:rPr>
          <w:rFonts w:ascii="Times New Roman" w:hAnsi="Times New Roman"/>
          <w:b/>
          <w:bCs/>
          <w:sz w:val="32"/>
          <w:szCs w:val="32"/>
        </w:rPr>
      </w:pPr>
      <w:r>
        <w:rPr>
          <w:rFonts w:ascii="Times New Roman" w:hAnsi="Times New Roman"/>
          <w:b/>
          <w:bCs/>
          <w:sz w:val="32"/>
          <w:szCs w:val="32"/>
        </w:rPr>
        <w:t>主管部门：</w:t>
      </w:r>
      <w:r>
        <w:rPr>
          <w:rFonts w:ascii="Times New Roman" w:hAnsi="Times New Roman"/>
          <w:b/>
          <w:sz w:val="32"/>
        </w:rPr>
        <w:t>内蒙古自治区信访局部门</w:t>
      </w:r>
    </w:p>
    <w:p>
      <w:pPr>
        <w:ind w:firstLine="1606" w:firstLineChars="500"/>
        <w:rPr>
          <w:rFonts w:ascii="Times New Roman" w:hAnsi="Times New Roman"/>
          <w:b/>
          <w:bCs/>
          <w:sz w:val="32"/>
          <w:szCs w:val="32"/>
        </w:rPr>
      </w:pPr>
      <w:r>
        <w:rPr>
          <w:rFonts w:ascii="Times New Roman" w:hAnsi="Times New Roman"/>
          <w:b/>
          <w:bCs/>
          <w:sz w:val="32"/>
          <w:szCs w:val="32"/>
        </w:rPr>
        <w:t>年月日</w:t>
      </w:r>
    </w:p>
    <w:p>
      <w:pPr>
        <w:ind w:firstLine="1606" w:firstLineChars="500"/>
        <w:rPr>
          <w:rFonts w:ascii="Times New Roman" w:hAnsi="Times New Roman"/>
          <w:b/>
          <w:bCs/>
          <w:color w:val="000000"/>
          <w:kern w:val="0"/>
          <w:sz w:val="24"/>
          <w:szCs w:val="24"/>
        </w:rPr>
      </w:pPr>
      <w:r>
        <w:rPr>
          <w:rFonts w:ascii="Times New Roman" w:hAnsi="Times New Roman"/>
          <w:b/>
          <w:bCs/>
          <w:sz w:val="32"/>
          <w:szCs w:val="32"/>
        </w:rPr>
        <w:t>（盖章）</w:t>
      </w:r>
    </w:p>
    <w:p>
      <w:pPr>
        <w:ind w:firstLine="482"/>
        <w:jc w:val="center"/>
        <w:rPr>
          <w:rFonts w:ascii="Times New Roman" w:hAnsi="Times New Roman"/>
          <w:b/>
          <w:bCs/>
          <w:color w:val="000000"/>
          <w:kern w:val="0"/>
          <w:sz w:val="24"/>
          <w:szCs w:val="24"/>
        </w:rPr>
      </w:pPr>
    </w:p>
    <w:p>
      <w:pPr>
        <w:keepNext w:val="0"/>
        <w:keepLines w:val="0"/>
        <w:pageBreakBefore w:val="0"/>
        <w:kinsoku/>
        <w:wordWrap/>
        <w:overflowPunct/>
        <w:topLinePunct w:val="0"/>
        <w:autoSpaceDE/>
        <w:autoSpaceDN/>
        <w:bidi w:val="0"/>
        <w:adjustRightInd/>
        <w:snapToGrid/>
        <w:spacing w:line="360" w:lineRule="auto"/>
        <w:ind w:firstLine="883" w:firstLineChars="200"/>
        <w:jc w:val="center"/>
        <w:textAlignment w:val="auto"/>
        <w:rPr>
          <w:rFonts w:ascii="Times New Roman" w:hAnsi="Times New Roman"/>
          <w:b/>
          <w:bCs/>
          <w:sz w:val="44"/>
          <w:szCs w:val="44"/>
        </w:rPr>
      </w:pPr>
      <w:r>
        <w:rPr>
          <w:rFonts w:ascii="Times New Roman" w:hAnsi="Times New Roman"/>
          <w:b/>
          <w:bCs/>
          <w:sz w:val="44"/>
          <w:szCs w:val="44"/>
        </w:rPr>
        <w:t>202</w:t>
      </w:r>
      <w:r>
        <w:rPr>
          <w:rFonts w:hint="eastAsia" w:ascii="Times New Roman" w:hAnsi="Times New Roman"/>
          <w:b/>
          <w:bCs/>
          <w:sz w:val="44"/>
          <w:szCs w:val="44"/>
          <w:lang w:val="en-US" w:eastAsia="zh-CN"/>
        </w:rPr>
        <w:t>3</w:t>
      </w:r>
      <w:r>
        <w:rPr>
          <w:rFonts w:ascii="Times New Roman" w:hAnsi="Times New Roman"/>
          <w:b/>
          <w:bCs/>
          <w:sz w:val="44"/>
          <w:szCs w:val="44"/>
        </w:rPr>
        <w:t>年</w:t>
      </w:r>
      <w:r>
        <w:rPr>
          <w:rFonts w:ascii="Times New Roman" w:hAnsi="Times New Roman"/>
          <w:b/>
          <w:bCs/>
          <w:sz w:val="44"/>
        </w:rPr>
        <w:t>驻京工作组综合楼运行费项目绩效自评报告</w:t>
      </w:r>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43" w:firstLineChars="200"/>
        <w:jc w:val="left"/>
        <w:textAlignment w:val="auto"/>
        <w:rPr>
          <w:rFonts w:ascii="Times New Roman" w:hAnsi="Times New Roman"/>
          <w:b/>
          <w:sz w:val="32"/>
          <w:szCs w:val="32"/>
        </w:rPr>
      </w:pPr>
      <w:r>
        <w:rPr>
          <w:rFonts w:ascii="Times New Roman" w:hAnsi="Times New Roman"/>
          <w:b/>
          <w:sz w:val="32"/>
          <w:szCs w:val="32"/>
        </w:rPr>
        <w:t>项目基本情况</w:t>
      </w:r>
    </w:p>
    <w:p>
      <w:pPr>
        <w:keepNext w:val="0"/>
        <w:keepLines w:val="0"/>
        <w:pageBreakBefore w:val="0"/>
        <w:kinsoku/>
        <w:wordWrap/>
        <w:overflowPunct/>
        <w:topLinePunct w:val="0"/>
        <w:autoSpaceDE/>
        <w:autoSpaceDN/>
        <w:bidi w:val="0"/>
        <w:adjustRightInd/>
        <w:snapToGrid/>
        <w:spacing w:line="360" w:lineRule="auto"/>
        <w:ind w:firstLine="655" w:firstLineChars="200"/>
        <w:textAlignment w:val="auto"/>
        <w:rPr>
          <w:rFonts w:ascii="Times New Roman" w:hAnsi="Times New Roman"/>
          <w:b/>
          <w:bCs/>
          <w:sz w:val="32"/>
          <w:szCs w:val="32"/>
        </w:rPr>
      </w:pPr>
      <w:r>
        <w:rPr>
          <w:rFonts w:ascii="Times New Roman" w:hAnsi="Times New Roman"/>
          <w:b/>
          <w:bCs/>
          <w:spacing w:val="3"/>
          <w:sz w:val="32"/>
          <w:szCs w:val="32"/>
        </w:rPr>
        <w:t>（一）项目基本情况简介</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ascii="Times New Roman" w:hAnsi="Times New Roman"/>
          <w:sz w:val="32"/>
          <w:szCs w:val="32"/>
        </w:rPr>
      </w:pPr>
      <w:r>
        <w:rPr>
          <w:rFonts w:ascii="Times New Roman" w:hAnsi="Times New Roman"/>
          <w:sz w:val="32"/>
          <w:szCs w:val="32"/>
        </w:rPr>
        <w:t>信访局驻京工作组综合楼运行费，为控制我区上访人员进京非接待场所上访和越级进京上访事件发生；确保在全国全区“两会“期间以及其他重大活动敏感节点不发生大规模进京上访、个人极端事件和重大舆情事件；保障自治区信访系统驻北京各项工作有序开展。</w:t>
      </w:r>
    </w:p>
    <w:p>
      <w:pPr>
        <w:keepNext w:val="0"/>
        <w:keepLines w:val="0"/>
        <w:pageBreakBefore w:val="0"/>
        <w:numPr>
          <w:ilvl w:val="0"/>
          <w:numId w:val="2"/>
        </w:numPr>
        <w:kinsoku/>
        <w:wordWrap/>
        <w:overflowPunct/>
        <w:topLinePunct w:val="0"/>
        <w:autoSpaceDE/>
        <w:autoSpaceDN/>
        <w:bidi w:val="0"/>
        <w:adjustRightInd/>
        <w:snapToGrid/>
        <w:spacing w:line="360" w:lineRule="auto"/>
        <w:ind w:firstLine="675" w:firstLineChars="200"/>
        <w:textAlignment w:val="auto"/>
        <w:rPr>
          <w:rFonts w:ascii="Times New Roman" w:hAnsi="Times New Roman"/>
          <w:b/>
          <w:bCs/>
          <w:spacing w:val="8"/>
          <w:sz w:val="32"/>
          <w:szCs w:val="32"/>
        </w:rPr>
      </w:pPr>
      <w:r>
        <w:rPr>
          <w:rFonts w:ascii="Times New Roman" w:hAnsi="Times New Roman"/>
          <w:b/>
          <w:bCs/>
          <w:spacing w:val="8"/>
          <w:sz w:val="32"/>
          <w:szCs w:val="32"/>
        </w:rPr>
        <w:t>绩效目标设定及指标完成情况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sz w:val="32"/>
          <w:szCs w:val="32"/>
        </w:rPr>
        <w:t>预期目标：信访局驻京工作组综合楼运行费，为控制我区上访人员进京非接待场所上访和越级进京上访事件发生；确保在全国全区“两会“期间以及其他重大活动敏感节点不发生大规模进京上访、个人极端事件和重大舆情事件；保障自治区信访系统驻北京各项工作有序开展。</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sz w:val="32"/>
          <w:szCs w:val="32"/>
        </w:rPr>
        <w:t>绩效目标实际完成情况：各项绩效指标基本按照计划落实，在年内逐项完成。</w:t>
      </w:r>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43" w:firstLineChars="200"/>
        <w:textAlignment w:val="auto"/>
        <w:rPr>
          <w:rFonts w:ascii="Times New Roman" w:hAnsi="Times New Roman"/>
          <w:b/>
          <w:sz w:val="32"/>
          <w:szCs w:val="32"/>
        </w:rPr>
      </w:pPr>
      <w:r>
        <w:rPr>
          <w:rFonts w:ascii="Times New Roman" w:hAnsi="Times New Roman"/>
          <w:b/>
          <w:sz w:val="32"/>
          <w:szCs w:val="32"/>
        </w:rPr>
        <w:t>绩效自评工作情况</w:t>
      </w:r>
    </w:p>
    <w:p>
      <w:pPr>
        <w:keepNext w:val="0"/>
        <w:keepLines w:val="0"/>
        <w:pageBreakBefore w:val="0"/>
        <w:kinsoku/>
        <w:wordWrap/>
        <w:overflowPunct/>
        <w:topLinePunct w:val="0"/>
        <w:autoSpaceDE/>
        <w:autoSpaceDN/>
        <w:bidi w:val="0"/>
        <w:adjustRightInd/>
        <w:snapToGrid/>
        <w:spacing w:line="360" w:lineRule="auto"/>
        <w:ind w:firstLine="647" w:firstLineChars="200"/>
        <w:textAlignment w:val="auto"/>
        <w:rPr>
          <w:rFonts w:ascii="Times New Roman" w:hAnsi="Times New Roman"/>
          <w:b/>
          <w:bCs/>
          <w:spacing w:val="1"/>
          <w:sz w:val="32"/>
          <w:szCs w:val="32"/>
        </w:rPr>
      </w:pPr>
      <w:r>
        <w:rPr>
          <w:rFonts w:ascii="Times New Roman" w:hAnsi="Times New Roman"/>
          <w:b/>
          <w:bCs/>
          <w:spacing w:val="1"/>
          <w:sz w:val="32"/>
          <w:szCs w:val="32"/>
        </w:rPr>
        <w:t>（一）绩效自评目的</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sz w:val="32"/>
          <w:szCs w:val="32"/>
        </w:rPr>
        <w:t>通过绩效自评，全面掌握此项经费的使用情况、项目进度以及实施效率，并及时发现项目执行过程中存在的问题、困难，强化绩效自评结果应用，加强项目管理，减少不合理支出、无效支出，提高财政资金使用效益。同时，引导预算单位加强对财政支出的实施效果和资金使用效益进行自我评价，促使预算单位树立和强化“花钱必问效”的绩效理念，帮助预算单位及时总结经验、改进管理，达到促进预算单位不断提升预算绩效管理水平、持续提高财政资金使用效益的目的。</w:t>
      </w:r>
    </w:p>
    <w:p>
      <w:pPr>
        <w:keepNext w:val="0"/>
        <w:keepLines w:val="0"/>
        <w:pageBreakBefore w:val="0"/>
        <w:kinsoku/>
        <w:wordWrap/>
        <w:overflowPunct/>
        <w:topLinePunct w:val="0"/>
        <w:autoSpaceDE/>
        <w:autoSpaceDN/>
        <w:bidi w:val="0"/>
        <w:adjustRightInd/>
        <w:snapToGrid/>
        <w:spacing w:line="360" w:lineRule="auto"/>
        <w:ind w:firstLine="659" w:firstLineChars="200"/>
        <w:textAlignment w:val="auto"/>
        <w:rPr>
          <w:rFonts w:ascii="Times New Roman" w:hAnsi="Times New Roman"/>
          <w:b/>
          <w:bCs/>
          <w:spacing w:val="4"/>
          <w:sz w:val="32"/>
          <w:szCs w:val="32"/>
        </w:rPr>
      </w:pPr>
      <w:r>
        <w:rPr>
          <w:rFonts w:ascii="Times New Roman" w:hAnsi="Times New Roman"/>
          <w:b/>
          <w:bCs/>
          <w:spacing w:val="4"/>
          <w:sz w:val="32"/>
          <w:szCs w:val="32"/>
        </w:rPr>
        <w:t>（二）项目资金投入情况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sz w:val="32"/>
          <w:szCs w:val="32"/>
        </w:rPr>
        <w:t>本年度资金年初预算数188.00万元，其中：财政拨款188.00万元，其他资金0万元。</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sz w:val="32"/>
          <w:szCs w:val="32"/>
        </w:rPr>
        <w:t>本年度资金全年预算数</w:t>
      </w:r>
      <w:r>
        <w:rPr>
          <w:rFonts w:hint="eastAsia"/>
          <w:sz w:val="32"/>
          <w:szCs w:val="32"/>
          <w:lang w:val="en-US" w:eastAsia="zh-CN"/>
        </w:rPr>
        <w:t>213.66</w:t>
      </w:r>
      <w:r>
        <w:rPr>
          <w:sz w:val="32"/>
          <w:szCs w:val="32"/>
        </w:rPr>
        <w:t>万元，其中：财政拨款</w:t>
      </w:r>
      <w:r>
        <w:rPr>
          <w:rFonts w:hint="eastAsia"/>
          <w:sz w:val="32"/>
          <w:szCs w:val="32"/>
          <w:lang w:val="en-US" w:eastAsia="zh-CN"/>
        </w:rPr>
        <w:t>213.66</w:t>
      </w:r>
      <w:r>
        <w:rPr>
          <w:sz w:val="32"/>
          <w:szCs w:val="32"/>
        </w:rPr>
        <w:t>万元，其他资金0万元。</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sz w:val="32"/>
          <w:szCs w:val="32"/>
        </w:rPr>
        <w:t>本年度资金全年执行数</w:t>
      </w:r>
      <w:r>
        <w:rPr>
          <w:rFonts w:hint="eastAsia"/>
          <w:sz w:val="32"/>
          <w:szCs w:val="32"/>
          <w:lang w:val="en-US" w:eastAsia="zh-CN"/>
        </w:rPr>
        <w:t>186.60</w:t>
      </w:r>
      <w:r>
        <w:rPr>
          <w:sz w:val="32"/>
          <w:szCs w:val="32"/>
        </w:rPr>
        <w:t>万元，其中：财政拨款</w:t>
      </w:r>
      <w:r>
        <w:rPr>
          <w:rFonts w:hint="eastAsia"/>
          <w:sz w:val="32"/>
          <w:szCs w:val="32"/>
          <w:lang w:val="en-US" w:eastAsia="zh-CN"/>
        </w:rPr>
        <w:t>186.60</w:t>
      </w:r>
      <w:r>
        <w:rPr>
          <w:sz w:val="32"/>
          <w:szCs w:val="32"/>
        </w:rPr>
        <w:t>万元，其他资金0.00万元。</w:t>
      </w:r>
    </w:p>
    <w:p>
      <w:pPr>
        <w:keepNext w:val="0"/>
        <w:keepLines w:val="0"/>
        <w:pageBreakBefore w:val="0"/>
        <w:kinsoku/>
        <w:wordWrap/>
        <w:overflowPunct/>
        <w:topLinePunct w:val="0"/>
        <w:autoSpaceDE/>
        <w:autoSpaceDN/>
        <w:bidi w:val="0"/>
        <w:adjustRightInd/>
        <w:snapToGrid/>
        <w:spacing w:line="360" w:lineRule="auto"/>
        <w:ind w:firstLine="659" w:firstLineChars="200"/>
        <w:textAlignment w:val="auto"/>
        <w:rPr>
          <w:rFonts w:ascii="Times New Roman" w:hAnsi="Times New Roman"/>
          <w:b/>
          <w:bCs/>
          <w:spacing w:val="4"/>
          <w:sz w:val="32"/>
          <w:szCs w:val="32"/>
        </w:rPr>
      </w:pPr>
      <w:r>
        <w:rPr>
          <w:rFonts w:ascii="Times New Roman" w:hAnsi="Times New Roman"/>
          <w:b/>
          <w:bCs/>
          <w:spacing w:val="4"/>
          <w:sz w:val="32"/>
          <w:szCs w:val="32"/>
        </w:rPr>
        <w:t>（三）项目资金产出情况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sz w:val="32"/>
          <w:szCs w:val="32"/>
        </w:rPr>
        <w:t>信访局驻京工作组综合楼运行费，为控制我区上访人员进京非接待场所上访和越级进京上访事件发生；确保在全国全区“两会“期间以及其他重大活动敏感节点不发生大规模进京上访、个人极端事件和重大舆情事件；保障自治区信访系统驻北京各项工作有序开展。其中</w:t>
      </w:r>
      <w:r>
        <w:rPr>
          <w:rFonts w:hint="eastAsia"/>
          <w:sz w:val="32"/>
          <w:szCs w:val="32"/>
          <w:lang w:val="en-US" w:eastAsia="zh-CN"/>
        </w:rPr>
        <w:t>办公费1.39万元，水费3.97万元，</w:t>
      </w:r>
      <w:r>
        <w:rPr>
          <w:sz w:val="32"/>
          <w:szCs w:val="32"/>
        </w:rPr>
        <w:t>电费</w:t>
      </w:r>
      <w:r>
        <w:rPr>
          <w:rFonts w:hint="eastAsia"/>
          <w:sz w:val="32"/>
          <w:szCs w:val="32"/>
          <w:lang w:val="en-US" w:eastAsia="zh-CN"/>
        </w:rPr>
        <w:t>33.30</w:t>
      </w:r>
      <w:r>
        <w:rPr>
          <w:sz w:val="32"/>
          <w:szCs w:val="32"/>
        </w:rPr>
        <w:t>万元，邮电费</w:t>
      </w:r>
      <w:r>
        <w:rPr>
          <w:rFonts w:hint="eastAsia"/>
          <w:sz w:val="32"/>
          <w:szCs w:val="32"/>
          <w:lang w:val="en-US" w:eastAsia="zh-CN"/>
        </w:rPr>
        <w:t>0.24</w:t>
      </w:r>
      <w:r>
        <w:rPr>
          <w:sz w:val="32"/>
          <w:szCs w:val="32"/>
        </w:rPr>
        <w:t>万元，取暖费</w:t>
      </w:r>
      <w:r>
        <w:rPr>
          <w:rFonts w:hint="eastAsia"/>
          <w:sz w:val="32"/>
          <w:szCs w:val="32"/>
          <w:lang w:val="en-US" w:eastAsia="zh-CN"/>
        </w:rPr>
        <w:t>20.00</w:t>
      </w:r>
      <w:r>
        <w:rPr>
          <w:sz w:val="32"/>
          <w:szCs w:val="32"/>
        </w:rPr>
        <w:t>万元，</w:t>
      </w:r>
      <w:r>
        <w:rPr>
          <w:rFonts w:hint="eastAsia"/>
          <w:sz w:val="32"/>
          <w:szCs w:val="32"/>
          <w:lang w:val="en-US" w:eastAsia="zh-CN"/>
        </w:rPr>
        <w:t>物业管理费113.68万元，</w:t>
      </w:r>
      <w:r>
        <w:rPr>
          <w:sz w:val="32"/>
          <w:szCs w:val="32"/>
        </w:rPr>
        <w:t>维修（护）费</w:t>
      </w:r>
      <w:r>
        <w:rPr>
          <w:rFonts w:hint="eastAsia"/>
          <w:sz w:val="32"/>
          <w:szCs w:val="32"/>
          <w:lang w:val="en-US" w:eastAsia="zh-CN"/>
        </w:rPr>
        <w:t>10.02</w:t>
      </w:r>
      <w:r>
        <w:rPr>
          <w:sz w:val="32"/>
          <w:szCs w:val="32"/>
        </w:rPr>
        <w:t>万元，</w:t>
      </w:r>
      <w:r>
        <w:rPr>
          <w:rFonts w:hint="eastAsia"/>
          <w:sz w:val="32"/>
          <w:szCs w:val="32"/>
          <w:lang w:val="en-US" w:eastAsia="zh-CN"/>
        </w:rPr>
        <w:t>委托业务费4.00</w:t>
      </w:r>
      <w:r>
        <w:rPr>
          <w:sz w:val="32"/>
          <w:szCs w:val="32"/>
        </w:rPr>
        <w:t>万元。</w:t>
      </w:r>
    </w:p>
    <w:p>
      <w:pPr>
        <w:keepNext w:val="0"/>
        <w:keepLines w:val="0"/>
        <w:pageBreakBefore w:val="0"/>
        <w:kinsoku/>
        <w:wordWrap/>
        <w:overflowPunct/>
        <w:topLinePunct w:val="0"/>
        <w:autoSpaceDE/>
        <w:autoSpaceDN/>
        <w:bidi w:val="0"/>
        <w:adjustRightInd/>
        <w:snapToGrid/>
        <w:spacing w:line="360" w:lineRule="auto"/>
        <w:ind w:firstLine="651" w:firstLineChars="200"/>
        <w:textAlignment w:val="auto"/>
        <w:rPr>
          <w:rFonts w:ascii="Times New Roman" w:hAnsi="Times New Roman"/>
          <w:b/>
          <w:bCs/>
          <w:spacing w:val="2"/>
          <w:sz w:val="32"/>
          <w:szCs w:val="32"/>
        </w:rPr>
      </w:pPr>
      <w:r>
        <w:rPr>
          <w:rFonts w:ascii="Times New Roman" w:hAnsi="Times New Roman"/>
          <w:b/>
          <w:bCs/>
          <w:spacing w:val="2"/>
          <w:sz w:val="32"/>
          <w:szCs w:val="32"/>
        </w:rPr>
        <w:t>（四）项目资金管理情况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sz w:val="32"/>
          <w:szCs w:val="32"/>
        </w:rPr>
        <w:t>此项目严格执行相关资金管理制度确保资金使用规范。按照要求实施单位统一管理并单独核算，严格执行相关采购规定及内控要求，按照内部审批制度逐级审批后，通过国库集中支付系统支付资金。在资金使用过程中，严把监督审核关，建立健全内部审批制度。对每笔用款审查是否通过申请批复，在所附资料齐备的情况下，审核确认后再付款。</w:t>
      </w:r>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43" w:firstLineChars="200"/>
        <w:textAlignment w:val="auto"/>
        <w:rPr>
          <w:rFonts w:ascii="Times New Roman" w:hAnsi="Times New Roman"/>
          <w:b/>
          <w:bCs/>
          <w:sz w:val="32"/>
          <w:szCs w:val="32"/>
        </w:rPr>
      </w:pPr>
      <w:r>
        <w:rPr>
          <w:rFonts w:ascii="Times New Roman" w:hAnsi="Times New Roman"/>
          <w:b/>
          <w:sz w:val="32"/>
          <w:szCs w:val="32"/>
        </w:rPr>
        <w:t>项目绩效情况</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00"/>
        <w:textAlignment w:val="auto"/>
        <w:rPr>
          <w:rFonts w:ascii="Times New Roman" w:hAnsi="Times New Roman"/>
          <w:b/>
          <w:bCs/>
          <w:sz w:val="32"/>
          <w:szCs w:val="32"/>
        </w:rPr>
      </w:pPr>
      <w:r>
        <w:rPr>
          <w:rFonts w:ascii="Times New Roman" w:hAnsi="Times New Roman"/>
          <w:b/>
          <w:bCs/>
          <w:sz w:val="32"/>
          <w:szCs w:val="32"/>
        </w:rPr>
        <w:t>（一）产出指标完成情况</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ascii="Times New Roman" w:hAnsi="Times New Roman"/>
          <w:b/>
          <w:bCs/>
          <w:sz w:val="32"/>
          <w:szCs w:val="32"/>
        </w:rPr>
      </w:pPr>
      <w:r>
        <w:rPr>
          <w:rFonts w:ascii="Times New Roman" w:hAnsi="Times New Roman"/>
          <w:b/>
          <w:bCs/>
          <w:sz w:val="32"/>
          <w:szCs w:val="32"/>
        </w:rPr>
        <w:t>1、数量指标</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ascii="Times New Roman" w:hAnsi="Times New Roman"/>
          <w:sz w:val="32"/>
          <w:szCs w:val="32"/>
        </w:rPr>
      </w:pPr>
      <w:r>
        <w:rPr>
          <w:rFonts w:ascii="Times New Roman" w:hAnsi="Times New Roman"/>
          <w:sz w:val="32"/>
          <w:szCs w:val="32"/>
        </w:rPr>
        <w:t>1）</w:t>
      </w:r>
      <w:r>
        <w:rPr>
          <w:rFonts w:hint="eastAsia" w:ascii="Times New Roman" w:hAnsi="Times New Roman"/>
          <w:sz w:val="32"/>
          <w:szCs w:val="32"/>
        </w:rPr>
        <w:t>办公楼修缮维护面积</w:t>
      </w:r>
      <w:r>
        <w:rPr>
          <w:rFonts w:ascii="Times New Roman" w:hAnsi="Times New Roman"/>
          <w:sz w:val="32"/>
          <w:szCs w:val="32"/>
        </w:rPr>
        <w:t>，目标值大于等于</w:t>
      </w:r>
      <w:r>
        <w:rPr>
          <w:rFonts w:hint="eastAsia" w:ascii="Times New Roman" w:hAnsi="Times New Roman"/>
          <w:sz w:val="32"/>
          <w:szCs w:val="32"/>
          <w:lang w:val="en-US" w:eastAsia="zh-CN"/>
        </w:rPr>
        <w:t>1800平方米</w:t>
      </w:r>
      <w:r>
        <w:rPr>
          <w:rFonts w:ascii="Times New Roman" w:hAnsi="Times New Roman"/>
          <w:sz w:val="32"/>
          <w:szCs w:val="32"/>
        </w:rPr>
        <w:t>，实际完成</w:t>
      </w:r>
      <w:r>
        <w:rPr>
          <w:rFonts w:hint="eastAsia" w:ascii="Times New Roman" w:hAnsi="Times New Roman"/>
          <w:sz w:val="32"/>
          <w:szCs w:val="32"/>
          <w:lang w:val="en-US" w:eastAsia="zh-CN"/>
        </w:rPr>
        <w:t>3407平方米</w:t>
      </w:r>
      <w:r>
        <w:rPr>
          <w:rFonts w:ascii="Times New Roman" w:hAnsi="Times New Roman"/>
          <w:sz w:val="32"/>
          <w:szCs w:val="32"/>
        </w:rPr>
        <w:t>，分值</w:t>
      </w:r>
      <w:r>
        <w:rPr>
          <w:rFonts w:hint="eastAsia" w:ascii="Times New Roman" w:hAnsi="Times New Roman"/>
          <w:sz w:val="32"/>
          <w:szCs w:val="32"/>
          <w:lang w:val="en-US" w:eastAsia="zh-CN"/>
        </w:rPr>
        <w:t>7</w:t>
      </w:r>
      <w:r>
        <w:rPr>
          <w:rFonts w:ascii="Times New Roman" w:hAnsi="Times New Roman"/>
          <w:sz w:val="32"/>
          <w:szCs w:val="32"/>
        </w:rPr>
        <w:t>，得分</w:t>
      </w:r>
      <w:r>
        <w:rPr>
          <w:rFonts w:hint="eastAsia" w:ascii="Times New Roman" w:hAnsi="Times New Roman"/>
          <w:sz w:val="32"/>
          <w:szCs w:val="32"/>
          <w:lang w:val="en-US" w:eastAsia="zh-CN"/>
        </w:rPr>
        <w:t>7</w:t>
      </w:r>
      <w:r>
        <w:rPr>
          <w:rFonts w:ascii="Times New Roman" w:hAnsi="Times New Roman"/>
          <w:sz w:val="32"/>
          <w:szCs w:val="32"/>
        </w:rPr>
        <w:t>。</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ascii="Times New Roman" w:hAnsi="Times New Roman"/>
          <w:b/>
          <w:bCs/>
          <w:sz w:val="32"/>
          <w:szCs w:val="32"/>
        </w:rPr>
      </w:pPr>
      <w:r>
        <w:rPr>
          <w:rFonts w:ascii="Times New Roman" w:hAnsi="Times New Roman"/>
          <w:b/>
          <w:bCs/>
          <w:sz w:val="32"/>
          <w:szCs w:val="32"/>
        </w:rPr>
        <w:t>2、质量指标</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ascii="Times New Roman" w:hAnsi="Times New Roman"/>
          <w:sz w:val="32"/>
          <w:szCs w:val="32"/>
        </w:rPr>
      </w:pPr>
      <w:r>
        <w:rPr>
          <w:rFonts w:hint="eastAsia" w:ascii="Times New Roman" w:hAnsi="Times New Roman"/>
          <w:sz w:val="32"/>
          <w:szCs w:val="32"/>
          <w:lang w:val="en-US" w:eastAsia="zh-CN"/>
        </w:rPr>
        <w:t>2</w:t>
      </w:r>
      <w:r>
        <w:rPr>
          <w:rFonts w:ascii="Times New Roman" w:hAnsi="Times New Roman"/>
          <w:sz w:val="32"/>
          <w:szCs w:val="32"/>
        </w:rPr>
        <w:t>）</w:t>
      </w:r>
      <w:r>
        <w:rPr>
          <w:rFonts w:hint="eastAsia" w:ascii="Times New Roman" w:hAnsi="Times New Roman"/>
          <w:sz w:val="32"/>
          <w:szCs w:val="32"/>
        </w:rPr>
        <w:t>物业服务完成质量达标率</w:t>
      </w:r>
      <w:r>
        <w:rPr>
          <w:rFonts w:ascii="Times New Roman" w:hAnsi="Times New Roman"/>
          <w:sz w:val="32"/>
          <w:szCs w:val="32"/>
        </w:rPr>
        <w:t>，目标值大于等于100%，实际完成100%，分值</w:t>
      </w:r>
      <w:r>
        <w:rPr>
          <w:rFonts w:hint="eastAsia" w:ascii="Times New Roman" w:hAnsi="Times New Roman"/>
          <w:sz w:val="32"/>
          <w:szCs w:val="32"/>
          <w:lang w:val="en-US" w:eastAsia="zh-CN"/>
        </w:rPr>
        <w:t>8</w:t>
      </w:r>
      <w:r>
        <w:rPr>
          <w:rFonts w:ascii="Times New Roman" w:hAnsi="Times New Roman"/>
          <w:sz w:val="32"/>
          <w:szCs w:val="32"/>
        </w:rPr>
        <w:t>，得分</w:t>
      </w:r>
      <w:r>
        <w:rPr>
          <w:rFonts w:hint="eastAsia" w:ascii="Times New Roman" w:hAnsi="Times New Roman"/>
          <w:sz w:val="32"/>
          <w:szCs w:val="32"/>
          <w:lang w:val="en-US" w:eastAsia="zh-CN"/>
        </w:rPr>
        <w:t>8</w:t>
      </w:r>
      <w:r>
        <w:rPr>
          <w:rFonts w:ascii="Times New Roman" w:hAnsi="Times New Roman"/>
          <w:sz w:val="32"/>
          <w:szCs w:val="32"/>
        </w:rPr>
        <w:t>。</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ascii="Times New Roman" w:hAnsi="Times New Roman"/>
          <w:b/>
          <w:bCs/>
          <w:sz w:val="32"/>
          <w:szCs w:val="32"/>
        </w:rPr>
      </w:pPr>
      <w:r>
        <w:rPr>
          <w:rFonts w:ascii="Times New Roman" w:hAnsi="Times New Roman"/>
          <w:b/>
          <w:bCs/>
          <w:sz w:val="32"/>
          <w:szCs w:val="32"/>
        </w:rPr>
        <w:t>3、时效指标</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ascii="Times New Roman" w:hAnsi="Times New Roman"/>
          <w:sz w:val="32"/>
          <w:szCs w:val="32"/>
        </w:rPr>
      </w:pPr>
      <w:r>
        <w:rPr>
          <w:rFonts w:hint="eastAsia" w:ascii="Times New Roman" w:hAnsi="Times New Roman"/>
          <w:sz w:val="32"/>
          <w:szCs w:val="32"/>
          <w:lang w:val="en-US" w:eastAsia="zh-CN"/>
        </w:rPr>
        <w:t>3</w:t>
      </w:r>
      <w:r>
        <w:rPr>
          <w:rFonts w:ascii="Times New Roman" w:hAnsi="Times New Roman"/>
          <w:sz w:val="32"/>
          <w:szCs w:val="32"/>
        </w:rPr>
        <w:t>）</w:t>
      </w:r>
      <w:r>
        <w:rPr>
          <w:rFonts w:hint="eastAsia" w:ascii="Times New Roman" w:hAnsi="Times New Roman"/>
          <w:sz w:val="32"/>
          <w:szCs w:val="32"/>
        </w:rPr>
        <w:t>第三方费用支付及时率</w:t>
      </w:r>
      <w:r>
        <w:rPr>
          <w:rFonts w:ascii="Times New Roman" w:hAnsi="Times New Roman"/>
          <w:sz w:val="32"/>
          <w:szCs w:val="32"/>
        </w:rPr>
        <w:t>，目标值大于等于100%，实际完成100%，分值</w:t>
      </w:r>
      <w:r>
        <w:rPr>
          <w:rFonts w:hint="eastAsia" w:ascii="Times New Roman" w:hAnsi="Times New Roman"/>
          <w:sz w:val="32"/>
          <w:szCs w:val="32"/>
          <w:lang w:val="en-US" w:eastAsia="zh-CN"/>
        </w:rPr>
        <w:t>1</w:t>
      </w:r>
      <w:r>
        <w:rPr>
          <w:rFonts w:ascii="Times New Roman" w:hAnsi="Times New Roman"/>
          <w:sz w:val="32"/>
          <w:szCs w:val="32"/>
        </w:rPr>
        <w:t>5，得分</w:t>
      </w:r>
      <w:r>
        <w:rPr>
          <w:rFonts w:hint="eastAsia" w:ascii="Times New Roman" w:hAnsi="Times New Roman"/>
          <w:sz w:val="32"/>
          <w:szCs w:val="32"/>
          <w:lang w:val="en-US" w:eastAsia="zh-CN"/>
        </w:rPr>
        <w:t>1</w:t>
      </w:r>
      <w:r>
        <w:rPr>
          <w:rFonts w:ascii="Times New Roman" w:hAnsi="Times New Roman"/>
          <w:sz w:val="32"/>
          <w:szCs w:val="32"/>
        </w:rPr>
        <w:t>5。</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ascii="Times New Roman" w:hAnsi="Times New Roman"/>
          <w:sz w:val="32"/>
          <w:szCs w:val="32"/>
        </w:rPr>
      </w:pPr>
      <w:r>
        <w:rPr>
          <w:rFonts w:ascii="Times New Roman" w:hAnsi="Times New Roman"/>
          <w:b/>
          <w:bCs/>
          <w:sz w:val="32"/>
          <w:szCs w:val="32"/>
        </w:rPr>
        <w:t>4、成本指标</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ascii="Times New Roman" w:hAnsi="Times New Roman"/>
          <w:sz w:val="32"/>
          <w:szCs w:val="32"/>
        </w:rPr>
      </w:pPr>
      <w:r>
        <w:rPr>
          <w:rFonts w:hint="eastAsia" w:ascii="Times New Roman" w:hAnsi="Times New Roman"/>
          <w:sz w:val="32"/>
          <w:szCs w:val="32"/>
          <w:lang w:val="en-US" w:eastAsia="zh-CN"/>
        </w:rPr>
        <w:t>4</w:t>
      </w:r>
      <w:r>
        <w:rPr>
          <w:rFonts w:ascii="Times New Roman" w:hAnsi="Times New Roman"/>
          <w:sz w:val="32"/>
          <w:szCs w:val="32"/>
        </w:rPr>
        <w:t>）</w:t>
      </w:r>
      <w:r>
        <w:rPr>
          <w:rFonts w:hint="eastAsia" w:ascii="Times New Roman" w:hAnsi="Times New Roman"/>
          <w:sz w:val="32"/>
          <w:szCs w:val="32"/>
        </w:rPr>
        <w:t>项目总成本</w:t>
      </w:r>
      <w:r>
        <w:rPr>
          <w:rFonts w:ascii="Times New Roman" w:hAnsi="Times New Roman"/>
          <w:sz w:val="32"/>
          <w:szCs w:val="32"/>
        </w:rPr>
        <w:t>，目标值等于188万元，实际完成</w:t>
      </w:r>
      <w:r>
        <w:rPr>
          <w:rFonts w:hint="eastAsia" w:ascii="Times New Roman" w:hAnsi="Times New Roman"/>
          <w:sz w:val="32"/>
          <w:szCs w:val="32"/>
          <w:lang w:val="en-US" w:eastAsia="zh-CN"/>
        </w:rPr>
        <w:t>186.60</w:t>
      </w:r>
      <w:r>
        <w:rPr>
          <w:rFonts w:ascii="Times New Roman" w:hAnsi="Times New Roman"/>
          <w:sz w:val="32"/>
          <w:szCs w:val="32"/>
        </w:rPr>
        <w:t>万元，分值</w:t>
      </w:r>
      <w:r>
        <w:rPr>
          <w:rFonts w:hint="eastAsia" w:ascii="Times New Roman" w:hAnsi="Times New Roman"/>
          <w:sz w:val="32"/>
          <w:szCs w:val="32"/>
          <w:lang w:val="en-US" w:eastAsia="zh-CN"/>
        </w:rPr>
        <w:t>20</w:t>
      </w:r>
      <w:r>
        <w:rPr>
          <w:rFonts w:ascii="Times New Roman" w:hAnsi="Times New Roman"/>
          <w:sz w:val="32"/>
          <w:szCs w:val="32"/>
        </w:rPr>
        <w:t>，得分</w:t>
      </w:r>
      <w:r>
        <w:rPr>
          <w:rFonts w:hint="eastAsia" w:ascii="Times New Roman" w:hAnsi="Times New Roman"/>
          <w:sz w:val="32"/>
          <w:szCs w:val="32"/>
          <w:lang w:val="en-US" w:eastAsia="zh-CN"/>
        </w:rPr>
        <w:t>19.85</w:t>
      </w:r>
      <w:r>
        <w:rPr>
          <w:rFonts w:ascii="Times New Roman" w:hAnsi="Times New Roman"/>
          <w:sz w:val="32"/>
          <w:szCs w:val="32"/>
        </w:rPr>
        <w:t>。</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ascii="Times New Roman" w:hAnsi="Times New Roman"/>
          <w:b/>
          <w:bCs/>
          <w:sz w:val="32"/>
          <w:szCs w:val="32"/>
        </w:rPr>
      </w:pPr>
      <w:r>
        <w:rPr>
          <w:rFonts w:ascii="Times New Roman" w:hAnsi="Times New Roman"/>
          <w:b/>
          <w:bCs/>
          <w:sz w:val="32"/>
          <w:szCs w:val="32"/>
        </w:rPr>
        <w:t>（二）效益指标完成情况</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ascii="Times New Roman" w:hAnsi="Times New Roman"/>
          <w:b/>
          <w:bCs/>
          <w:sz w:val="32"/>
          <w:szCs w:val="32"/>
        </w:rPr>
      </w:pPr>
      <w:r>
        <w:rPr>
          <w:rFonts w:hint="eastAsia" w:ascii="Times New Roman" w:hAnsi="Times New Roman"/>
          <w:b/>
          <w:bCs/>
          <w:sz w:val="32"/>
          <w:szCs w:val="32"/>
          <w:lang w:val="en-US" w:eastAsia="zh-CN"/>
        </w:rPr>
        <w:t>5</w:t>
      </w:r>
      <w:r>
        <w:rPr>
          <w:rFonts w:ascii="Times New Roman" w:hAnsi="Times New Roman"/>
          <w:b/>
          <w:bCs/>
          <w:sz w:val="32"/>
          <w:szCs w:val="32"/>
        </w:rPr>
        <w:t>、社会效益</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ascii="Times New Roman" w:hAnsi="Times New Roman"/>
          <w:sz w:val="32"/>
          <w:szCs w:val="32"/>
        </w:rPr>
      </w:pPr>
      <w:r>
        <w:rPr>
          <w:rFonts w:hint="eastAsia" w:ascii="Times New Roman" w:hAnsi="Times New Roman"/>
          <w:sz w:val="32"/>
          <w:szCs w:val="32"/>
          <w:lang w:val="en-US" w:eastAsia="zh-CN"/>
        </w:rPr>
        <w:t>5</w:t>
      </w:r>
      <w:r>
        <w:rPr>
          <w:rFonts w:ascii="Times New Roman" w:hAnsi="Times New Roman"/>
          <w:sz w:val="32"/>
          <w:szCs w:val="32"/>
        </w:rPr>
        <w:t>）改善办公环境，目标值大于等于50%，实际完成50%，分值15，得分15。</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ascii="Times New Roman" w:hAnsi="Times New Roman"/>
          <w:b/>
          <w:bCs/>
          <w:sz w:val="32"/>
          <w:szCs w:val="32"/>
        </w:rPr>
      </w:pPr>
      <w:r>
        <w:rPr>
          <w:rFonts w:hint="eastAsia" w:ascii="Times New Roman" w:hAnsi="Times New Roman"/>
          <w:b/>
          <w:bCs/>
          <w:sz w:val="32"/>
          <w:szCs w:val="32"/>
          <w:lang w:val="en-US" w:eastAsia="zh-CN"/>
        </w:rPr>
        <w:t>6</w:t>
      </w:r>
      <w:r>
        <w:rPr>
          <w:rFonts w:ascii="Times New Roman" w:hAnsi="Times New Roman"/>
          <w:b/>
          <w:bCs/>
          <w:sz w:val="32"/>
          <w:szCs w:val="32"/>
        </w:rPr>
        <w:t>、可持续影响</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ascii="Times New Roman" w:hAnsi="Times New Roman"/>
          <w:sz w:val="32"/>
          <w:szCs w:val="32"/>
        </w:rPr>
      </w:pPr>
      <w:r>
        <w:rPr>
          <w:rFonts w:hint="eastAsia" w:ascii="Times New Roman" w:hAnsi="Times New Roman"/>
          <w:sz w:val="32"/>
          <w:szCs w:val="32"/>
          <w:lang w:val="en-US" w:eastAsia="zh-CN"/>
        </w:rPr>
        <w:t>6</w:t>
      </w:r>
      <w:r>
        <w:rPr>
          <w:rFonts w:ascii="Times New Roman" w:hAnsi="Times New Roman"/>
          <w:sz w:val="32"/>
          <w:szCs w:val="32"/>
        </w:rPr>
        <w:t>）设备寿命时长，目标值大于等于6年，实际完成6年，分值15，得分15。</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ascii="Times New Roman" w:hAnsi="Times New Roman"/>
          <w:b/>
          <w:bCs/>
          <w:sz w:val="32"/>
          <w:szCs w:val="32"/>
        </w:rPr>
      </w:pPr>
      <w:r>
        <w:rPr>
          <w:rFonts w:ascii="Times New Roman" w:hAnsi="Times New Roman"/>
          <w:b/>
          <w:bCs/>
          <w:sz w:val="32"/>
          <w:szCs w:val="32"/>
        </w:rPr>
        <w:t>（三）满意度指标完成情况</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ascii="Times New Roman" w:hAnsi="Times New Roman"/>
          <w:b/>
          <w:bCs/>
          <w:sz w:val="32"/>
          <w:szCs w:val="32"/>
        </w:rPr>
      </w:pPr>
      <w:r>
        <w:rPr>
          <w:rFonts w:hint="eastAsia" w:ascii="Times New Roman" w:hAnsi="Times New Roman"/>
          <w:b/>
          <w:bCs/>
          <w:sz w:val="32"/>
          <w:szCs w:val="32"/>
          <w:lang w:val="en-US" w:eastAsia="zh-CN"/>
        </w:rPr>
        <w:t>7</w:t>
      </w:r>
      <w:r>
        <w:rPr>
          <w:rFonts w:ascii="Times New Roman" w:hAnsi="Times New Roman"/>
          <w:b/>
          <w:bCs/>
          <w:sz w:val="32"/>
          <w:szCs w:val="32"/>
        </w:rPr>
        <w:t>、服务对象满意度</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ascii="Times New Roman" w:hAnsi="Times New Roman"/>
          <w:sz w:val="32"/>
          <w:szCs w:val="32"/>
        </w:rPr>
      </w:pPr>
      <w:r>
        <w:rPr>
          <w:rFonts w:hint="eastAsia" w:ascii="Times New Roman" w:hAnsi="Times New Roman"/>
          <w:sz w:val="32"/>
          <w:szCs w:val="32"/>
          <w:lang w:val="en-US" w:eastAsia="zh-CN"/>
        </w:rPr>
        <w:t>7</w:t>
      </w:r>
      <w:r>
        <w:rPr>
          <w:rFonts w:ascii="Times New Roman" w:hAnsi="Times New Roman"/>
          <w:sz w:val="32"/>
          <w:szCs w:val="32"/>
        </w:rPr>
        <w:t>）第三方服务单位满意度，目标值大于等于100%，实际完成</w:t>
      </w:r>
      <w:r>
        <w:rPr>
          <w:rFonts w:hint="eastAsia" w:ascii="Times New Roman" w:hAnsi="Times New Roman"/>
          <w:sz w:val="32"/>
          <w:szCs w:val="32"/>
          <w:lang w:val="en-US" w:eastAsia="zh-CN"/>
        </w:rPr>
        <w:t>100</w:t>
      </w:r>
      <w:r>
        <w:rPr>
          <w:rFonts w:ascii="Times New Roman" w:hAnsi="Times New Roman"/>
          <w:sz w:val="32"/>
          <w:szCs w:val="32"/>
        </w:rPr>
        <w:t>%，分值10，得分</w:t>
      </w:r>
      <w:r>
        <w:rPr>
          <w:rFonts w:hint="eastAsia" w:ascii="Times New Roman" w:hAnsi="Times New Roman"/>
          <w:sz w:val="32"/>
          <w:szCs w:val="32"/>
          <w:lang w:val="en-US" w:eastAsia="zh-CN"/>
        </w:rPr>
        <w:t>10</w:t>
      </w:r>
      <w:r>
        <w:rPr>
          <w:rFonts w:ascii="Times New Roman" w:hAnsi="Times New Roman"/>
          <w:sz w:val="32"/>
          <w:szCs w:val="32"/>
        </w:rPr>
        <w:t>。</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ascii="Times New Roman" w:hAnsi="Times New Roman"/>
          <w:b/>
          <w:bCs/>
          <w:sz w:val="32"/>
          <w:szCs w:val="32"/>
        </w:rPr>
      </w:pPr>
      <w:r>
        <w:rPr>
          <w:rFonts w:ascii="Times New Roman" w:hAnsi="Times New Roman"/>
          <w:b/>
          <w:bCs/>
          <w:sz w:val="32"/>
          <w:szCs w:val="32"/>
        </w:rPr>
        <w:t>（四）自评得分情况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sz w:val="32"/>
          <w:szCs w:val="32"/>
        </w:rPr>
      </w:pPr>
      <w:r>
        <w:rPr>
          <w:rFonts w:ascii="Times New Roman" w:hAnsi="Times New Roman"/>
          <w:sz w:val="32"/>
          <w:szCs w:val="32"/>
        </w:rPr>
        <w:t>本项目绩效自评得分</w:t>
      </w:r>
      <w:r>
        <w:rPr>
          <w:rFonts w:hint="eastAsia" w:ascii="Times New Roman" w:hAnsi="Times New Roman"/>
          <w:sz w:val="32"/>
          <w:szCs w:val="32"/>
          <w:lang w:val="en-US" w:eastAsia="zh-CN"/>
        </w:rPr>
        <w:t>98.58</w:t>
      </w:r>
      <w:r>
        <w:rPr>
          <w:rFonts w:ascii="Times New Roman" w:hAnsi="Times New Roman"/>
          <w:sz w:val="32"/>
          <w:szCs w:val="32"/>
        </w:rPr>
        <w:t>分，等级为</w:t>
      </w:r>
      <w:r>
        <w:rPr>
          <w:rFonts w:hint="eastAsia" w:ascii="Times New Roman" w:hAnsi="Times New Roman"/>
          <w:sz w:val="32"/>
          <w:szCs w:val="32"/>
        </w:rPr>
        <w:t>A</w:t>
      </w:r>
      <w:r>
        <w:rPr>
          <w:rFonts w:ascii="Times New Roman" w:hAnsi="Times New Roman"/>
          <w:sz w:val="32"/>
          <w:szCs w:val="32"/>
        </w:rPr>
        <w:t>。</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ascii="Times New Roman" w:hAnsi="Times New Roman"/>
          <w:b/>
          <w:sz w:val="32"/>
          <w:szCs w:val="32"/>
        </w:rPr>
      </w:pPr>
      <w:r>
        <w:rPr>
          <w:rFonts w:hint="eastAsia" w:ascii="Times New Roman" w:hAnsi="Times New Roman"/>
          <w:b/>
          <w:sz w:val="32"/>
          <w:szCs w:val="32"/>
        </w:rPr>
        <w:t>四、</w:t>
      </w:r>
      <w:r>
        <w:rPr>
          <w:rFonts w:ascii="Times New Roman" w:hAnsi="Times New Roman"/>
          <w:b/>
          <w:bCs/>
          <w:sz w:val="32"/>
          <w:szCs w:val="32"/>
        </w:rPr>
        <w:t>存在问题</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ascii="Times New Roman" w:hAnsi="Times New Roman"/>
          <w:b/>
          <w:bCs/>
          <w:sz w:val="32"/>
          <w:szCs w:val="32"/>
          <w:lang w:val="zh-CN"/>
        </w:rPr>
      </w:pPr>
      <w:r>
        <w:rPr>
          <w:rFonts w:ascii="Times New Roman" w:hAnsi="Times New Roman"/>
          <w:b/>
          <w:bCs/>
          <w:sz w:val="32"/>
          <w:szCs w:val="32"/>
        </w:rPr>
        <w:t>（</w:t>
      </w:r>
      <w:r>
        <w:rPr>
          <w:rFonts w:hint="eastAsia" w:ascii="Times New Roman" w:hAnsi="Times New Roman"/>
          <w:b/>
          <w:bCs/>
          <w:sz w:val="32"/>
          <w:szCs w:val="32"/>
        </w:rPr>
        <w:t>一</w:t>
      </w:r>
      <w:r>
        <w:rPr>
          <w:rFonts w:ascii="Times New Roman" w:hAnsi="Times New Roman"/>
          <w:b/>
          <w:bCs/>
          <w:sz w:val="32"/>
          <w:szCs w:val="32"/>
        </w:rPr>
        <w:t>）项目立项、实施存在问题</w:t>
      </w:r>
    </w:p>
    <w:p>
      <w:pPr>
        <w:keepNext w:val="0"/>
        <w:keepLines w:val="0"/>
        <w:pageBreakBefore w:val="0"/>
        <w:widowControl/>
        <w:kinsoku/>
        <w:wordWrap/>
        <w:overflowPunct/>
        <w:topLinePunct w:val="0"/>
        <w:autoSpaceDE/>
        <w:autoSpaceDN/>
        <w:bidi w:val="0"/>
        <w:adjustRightInd/>
        <w:snapToGrid/>
        <w:spacing w:line="360" w:lineRule="auto"/>
        <w:ind w:firstLine="644" w:firstLineChars="200"/>
        <w:jc w:val="left"/>
        <w:textAlignment w:val="auto"/>
        <w:rPr>
          <w:rFonts w:ascii="Times New Roman" w:hAnsi="Times New Roman"/>
          <w:spacing w:val="1"/>
          <w:sz w:val="32"/>
          <w:szCs w:val="32"/>
        </w:rPr>
      </w:pPr>
      <w:r>
        <w:rPr>
          <w:rFonts w:ascii="Times New Roman" w:hAnsi="Times New Roman"/>
          <w:spacing w:val="1"/>
          <w:sz w:val="32"/>
          <w:szCs w:val="32"/>
        </w:rPr>
        <w:t>无。</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ascii="Times New Roman" w:hAnsi="Times New Roman"/>
          <w:b/>
          <w:bCs/>
          <w:sz w:val="32"/>
          <w:szCs w:val="32"/>
        </w:rPr>
      </w:pPr>
      <w:r>
        <w:rPr>
          <w:rFonts w:ascii="Times New Roman" w:hAnsi="Times New Roman"/>
          <w:b/>
          <w:bCs/>
          <w:sz w:val="32"/>
          <w:szCs w:val="32"/>
        </w:rPr>
        <w:t>（</w:t>
      </w:r>
      <w:r>
        <w:rPr>
          <w:rFonts w:hint="eastAsia" w:ascii="Times New Roman" w:hAnsi="Times New Roman"/>
          <w:b/>
          <w:bCs/>
          <w:sz w:val="32"/>
          <w:szCs w:val="32"/>
        </w:rPr>
        <w:t>二</w:t>
      </w:r>
      <w:r>
        <w:rPr>
          <w:rFonts w:ascii="Times New Roman" w:hAnsi="Times New Roman"/>
          <w:b/>
          <w:bCs/>
          <w:sz w:val="32"/>
          <w:szCs w:val="32"/>
        </w:rPr>
        <w:t>）资金管理使用存在问题</w:t>
      </w:r>
    </w:p>
    <w:p>
      <w:pPr>
        <w:keepNext w:val="0"/>
        <w:keepLines w:val="0"/>
        <w:pageBreakBefore w:val="0"/>
        <w:widowControl/>
        <w:kinsoku/>
        <w:wordWrap/>
        <w:overflowPunct/>
        <w:topLinePunct w:val="0"/>
        <w:autoSpaceDE/>
        <w:autoSpaceDN/>
        <w:bidi w:val="0"/>
        <w:adjustRightInd/>
        <w:snapToGrid/>
        <w:spacing w:line="360" w:lineRule="auto"/>
        <w:ind w:firstLine="644" w:firstLineChars="200"/>
        <w:jc w:val="left"/>
        <w:textAlignment w:val="auto"/>
        <w:rPr>
          <w:rFonts w:ascii="Times New Roman" w:hAnsi="Times New Roman"/>
          <w:b/>
          <w:sz w:val="32"/>
          <w:szCs w:val="32"/>
        </w:rPr>
      </w:pPr>
      <w:r>
        <w:rPr>
          <w:rFonts w:ascii="Times New Roman" w:hAnsi="Times New Roman"/>
          <w:spacing w:val="1"/>
          <w:sz w:val="32"/>
          <w:szCs w:val="32"/>
        </w:rPr>
        <w:t>无。</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ascii="Times New Roman" w:hAnsi="Times New Roman"/>
          <w:b/>
          <w:sz w:val="32"/>
          <w:szCs w:val="32"/>
        </w:rPr>
      </w:pPr>
      <w:r>
        <w:rPr>
          <w:rFonts w:ascii="Times New Roman" w:hAnsi="Times New Roman"/>
          <w:b/>
          <w:sz w:val="32"/>
          <w:szCs w:val="32"/>
        </w:rPr>
        <w:t>五、其他需要说明的问题</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b/>
          <w:bCs/>
          <w:sz w:val="32"/>
          <w:szCs w:val="32"/>
        </w:rPr>
      </w:pPr>
      <w:r>
        <w:rPr>
          <w:rFonts w:ascii="Times New Roman" w:hAnsi="Times New Roman"/>
          <w:b/>
          <w:bCs/>
          <w:sz w:val="32"/>
          <w:szCs w:val="32"/>
        </w:rPr>
        <w:t>（一）后续工作计划</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sz w:val="32"/>
          <w:szCs w:val="32"/>
        </w:rPr>
        <w:t>继续做好项目工作，对项目指标进行细化，切实落实好上级政策要求。加强绩效管理培训，组织相关人员深入学习预算绩效管理文件，及时把握政策要求，明确项目实施的绩效导向，提高预算绩效管理的约束力，加快建立全过程预算绩效管理链条。加强绩效管理工作，细化绩效目标编制，认真进行自我评价，重视财政绩效评价监督，落实财政部门提出的整改意见，加强绩效评价结果应用。</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b/>
          <w:bCs/>
          <w:sz w:val="32"/>
          <w:szCs w:val="32"/>
        </w:rPr>
      </w:pPr>
      <w:r>
        <w:rPr>
          <w:rFonts w:ascii="Times New Roman" w:hAnsi="Times New Roman"/>
          <w:b/>
          <w:bCs/>
          <w:sz w:val="32"/>
          <w:szCs w:val="32"/>
        </w:rPr>
        <w:t>（二）措施及办法</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sz w:val="32"/>
          <w:szCs w:val="32"/>
        </w:rPr>
        <w:t>强化预算编制工作，完善相关制度、提高项目实施过程的管理和监督，使项目顺利进行和保证质量；加强资金管理，确保资金使用规范、合理、专款专用。</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sz w:val="32"/>
          <w:szCs w:val="32"/>
        </w:rPr>
        <w:t>要继续深化绩效申报及自评工作，在不同项目核心绩效指标的细化、量化上下功夫，做到各级预算指标均能全面、科学地评价本部门项目资金运用情况，提高年初工作规划水平。从而提高财政资金支出的运行效率。</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p>
    <w:p>
      <w:pPr>
        <w:keepNext w:val="0"/>
        <w:keepLines w:val="0"/>
        <w:pageBreakBefore w:val="0"/>
        <w:widowControl/>
        <w:kinsoku/>
        <w:wordWrap/>
        <w:overflowPunct/>
        <w:topLinePunct w:val="0"/>
        <w:autoSpaceDE/>
        <w:autoSpaceDN/>
        <w:bidi w:val="0"/>
        <w:adjustRightInd/>
        <w:snapToGrid/>
        <w:spacing w:line="360" w:lineRule="auto"/>
        <w:ind w:firstLine="643" w:firstLineChars="200"/>
        <w:jc w:val="right"/>
        <w:textAlignment w:val="auto"/>
        <w:rPr>
          <w:rFonts w:ascii="Times New Roman" w:hAnsi="Times New Roman"/>
          <w:b/>
          <w:bCs w:val="0"/>
          <w:sz w:val="32"/>
          <w:szCs w:val="32"/>
        </w:rPr>
      </w:pPr>
      <w:r>
        <w:rPr>
          <w:rFonts w:ascii="Times New Roman" w:hAnsi="Times New Roman"/>
          <w:b/>
          <w:bCs w:val="0"/>
          <w:sz w:val="32"/>
          <w:szCs w:val="32"/>
        </w:rPr>
        <w:t>内蒙古自治区信访局</w:t>
      </w:r>
    </w:p>
    <w:p>
      <w:pPr>
        <w:keepNext w:val="0"/>
        <w:keepLines w:val="0"/>
        <w:pageBreakBefore w:val="0"/>
        <w:widowControl/>
        <w:kinsoku/>
        <w:wordWrap/>
        <w:overflowPunct/>
        <w:topLinePunct w:val="0"/>
        <w:autoSpaceDE/>
        <w:autoSpaceDN/>
        <w:bidi w:val="0"/>
        <w:adjustRightInd/>
        <w:snapToGrid/>
        <w:spacing w:line="360" w:lineRule="auto"/>
        <w:ind w:firstLine="643" w:firstLineChars="200"/>
        <w:jc w:val="right"/>
        <w:textAlignment w:val="auto"/>
        <w:rPr>
          <w:rFonts w:ascii="仿宋" w:hAnsi="仿宋" w:cs="仿宋"/>
          <w:sz w:val="32"/>
          <w:szCs w:val="32"/>
        </w:rPr>
      </w:pPr>
      <w:r>
        <w:rPr>
          <w:rFonts w:hint="default" w:ascii="Times New Roman" w:hAnsi="Times New Roman" w:cs="Times New Roman"/>
          <w:b/>
          <w:bCs w:val="0"/>
          <w:sz w:val="32"/>
          <w:szCs w:val="32"/>
        </w:rPr>
        <w:t>2024年</w:t>
      </w:r>
      <w:r>
        <w:rPr>
          <w:rFonts w:hint="eastAsia" w:ascii="Times New Roman" w:hAnsi="Times New Roman" w:cs="Times New Roman"/>
          <w:b/>
          <w:bCs w:val="0"/>
          <w:sz w:val="32"/>
          <w:szCs w:val="32"/>
          <w:lang w:val="en-US" w:eastAsia="zh-CN"/>
        </w:rPr>
        <w:t>4</w:t>
      </w:r>
      <w:r>
        <w:rPr>
          <w:rFonts w:hint="default" w:ascii="Times New Roman" w:hAnsi="Times New Roman" w:cs="Times New Roman"/>
          <w:b/>
          <w:bCs w:val="0"/>
          <w:sz w:val="32"/>
          <w:szCs w:val="32"/>
        </w:rPr>
        <w:t>月</w:t>
      </w:r>
      <w:r>
        <w:rPr>
          <w:rFonts w:hint="eastAsia" w:ascii="Times New Roman" w:hAnsi="Times New Roman" w:cs="Times New Roman"/>
          <w:b/>
          <w:bCs w:val="0"/>
          <w:sz w:val="32"/>
          <w:szCs w:val="32"/>
          <w:lang w:val="en-US" w:eastAsia="zh-CN"/>
        </w:rPr>
        <w:t>7</w:t>
      </w:r>
      <w:bookmarkStart w:id="0" w:name="_GoBack"/>
      <w:bookmarkEnd w:id="0"/>
      <w:r>
        <w:rPr>
          <w:rFonts w:hint="default" w:ascii="Times New Roman" w:hAnsi="Times New Roman" w:cs="Times New Roman"/>
          <w:b/>
          <w:bCs w:val="0"/>
          <w:sz w:val="32"/>
          <w:szCs w:val="32"/>
        </w:rPr>
        <w:t>日</w:t>
      </w:r>
    </w:p>
    <w:p>
      <w:pPr>
        <w:ind w:firstLine="880"/>
        <w:jc w:val="center"/>
        <w:rPr>
          <w:rFonts w:ascii="Times New Roman" w:hAnsi="Times New Roman"/>
          <w:sz w:val="44"/>
          <w:szCs w:val="44"/>
        </w:rPr>
      </w:pPr>
    </w:p>
    <w:p>
      <w:pPr>
        <w:ind w:left="590" w:firstLine="643"/>
        <w:rPr>
          <w:rFonts w:ascii="Times New Roman" w:hAnsi="Times New Roman"/>
          <w:b/>
          <w:sz w:val="32"/>
          <w:szCs w:val="32"/>
        </w:rPr>
      </w:pPr>
    </w:p>
    <w:p>
      <w:pPr>
        <w:ind w:firstLine="600"/>
        <w:rPr>
          <w:rFonts w:ascii="Times New Roman" w:hAnsi="Times New Roman"/>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258D6"/>
    <w:multiLevelType w:val="singleLevel"/>
    <w:tmpl w:val="0CF258D6"/>
    <w:lvl w:ilvl="0" w:tentative="0">
      <w:start w:val="2"/>
      <w:numFmt w:val="chineseCounting"/>
      <w:suff w:val="nothing"/>
      <w:lvlText w:val="（%1）"/>
      <w:lvlJc w:val="left"/>
      <w:rPr>
        <w:rFonts w:hint="eastAsia"/>
      </w:rPr>
    </w:lvl>
  </w:abstractNum>
  <w:abstractNum w:abstractNumId="1">
    <w:nsid w:val="63AC781A"/>
    <w:multiLevelType w:val="multilevel"/>
    <w:tmpl w:val="63AC781A"/>
    <w:lvl w:ilvl="0" w:tentative="0">
      <w:start w:val="1"/>
      <w:numFmt w:val="japaneseCounting"/>
      <w:suff w:val="nothing"/>
      <w:lvlText w:val="%1、"/>
      <w:lvlJc w:val="left"/>
      <w:pPr>
        <w:ind w:left="1310" w:hanging="720"/>
      </w:pPr>
      <w:rPr>
        <w:rFonts w:hint="eastAsia"/>
      </w:rPr>
    </w:lvl>
    <w:lvl w:ilvl="1" w:tentative="0">
      <w:start w:val="1"/>
      <w:numFmt w:val="lowerLetter"/>
      <w:lvlText w:val="%2)"/>
      <w:lvlJc w:val="left"/>
      <w:pPr>
        <w:ind w:left="1430" w:hanging="420"/>
      </w:pPr>
      <w:rPr>
        <w:rFonts w:hint="eastAsia"/>
      </w:rPr>
    </w:lvl>
    <w:lvl w:ilvl="2" w:tentative="0">
      <w:start w:val="1"/>
      <w:numFmt w:val="lowerRoman"/>
      <w:lvlText w:val="%3."/>
      <w:lvlJc w:val="right"/>
      <w:pPr>
        <w:ind w:left="1850" w:hanging="420"/>
      </w:pPr>
      <w:rPr>
        <w:rFonts w:hint="eastAsia"/>
      </w:rPr>
    </w:lvl>
    <w:lvl w:ilvl="3" w:tentative="0">
      <w:start w:val="1"/>
      <w:numFmt w:val="decimal"/>
      <w:lvlText w:val="%4."/>
      <w:lvlJc w:val="left"/>
      <w:pPr>
        <w:ind w:left="2270" w:hanging="420"/>
      </w:pPr>
      <w:rPr>
        <w:rFonts w:hint="eastAsia"/>
      </w:rPr>
    </w:lvl>
    <w:lvl w:ilvl="4" w:tentative="0">
      <w:start w:val="1"/>
      <w:numFmt w:val="lowerLetter"/>
      <w:lvlText w:val="%5)"/>
      <w:lvlJc w:val="left"/>
      <w:pPr>
        <w:ind w:left="2690" w:hanging="420"/>
      </w:pPr>
      <w:rPr>
        <w:rFonts w:hint="eastAsia"/>
      </w:rPr>
    </w:lvl>
    <w:lvl w:ilvl="5" w:tentative="0">
      <w:start w:val="1"/>
      <w:numFmt w:val="lowerRoman"/>
      <w:lvlText w:val="%6."/>
      <w:lvlJc w:val="right"/>
      <w:pPr>
        <w:ind w:left="3110" w:hanging="420"/>
      </w:pPr>
      <w:rPr>
        <w:rFonts w:hint="eastAsia"/>
      </w:rPr>
    </w:lvl>
    <w:lvl w:ilvl="6" w:tentative="0">
      <w:start w:val="1"/>
      <w:numFmt w:val="decimal"/>
      <w:lvlText w:val="%7."/>
      <w:lvlJc w:val="left"/>
      <w:pPr>
        <w:ind w:left="3530" w:hanging="420"/>
      </w:pPr>
      <w:rPr>
        <w:rFonts w:hint="eastAsia"/>
      </w:rPr>
    </w:lvl>
    <w:lvl w:ilvl="7" w:tentative="0">
      <w:start w:val="1"/>
      <w:numFmt w:val="lowerLetter"/>
      <w:lvlText w:val="%8)"/>
      <w:lvlJc w:val="left"/>
      <w:pPr>
        <w:ind w:left="3950" w:hanging="420"/>
      </w:pPr>
      <w:rPr>
        <w:rFonts w:hint="eastAsia"/>
      </w:rPr>
    </w:lvl>
    <w:lvl w:ilvl="8" w:tentative="0">
      <w:start w:val="1"/>
      <w:numFmt w:val="lowerRoman"/>
      <w:lvlText w:val="%9."/>
      <w:lvlJc w:val="right"/>
      <w:pPr>
        <w:ind w:left="4370" w:hanging="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TFlODNiNmYxOTc3YzAwNmMzZDY2MjUzNzAzNjI0ZDYifQ=="/>
  </w:docVars>
  <w:rsids>
    <w:rsidRoot w:val="2B6F4C9D"/>
    <w:rsid w:val="000A297C"/>
    <w:rsid w:val="000B2098"/>
    <w:rsid w:val="001850CA"/>
    <w:rsid w:val="003B4DF7"/>
    <w:rsid w:val="004C2775"/>
    <w:rsid w:val="004D77F5"/>
    <w:rsid w:val="005530DB"/>
    <w:rsid w:val="005E23EE"/>
    <w:rsid w:val="00756160"/>
    <w:rsid w:val="00852652"/>
    <w:rsid w:val="00867BA5"/>
    <w:rsid w:val="008716F2"/>
    <w:rsid w:val="0096249A"/>
    <w:rsid w:val="00996B97"/>
    <w:rsid w:val="00A81D9A"/>
    <w:rsid w:val="00AF50B8"/>
    <w:rsid w:val="00B12946"/>
    <w:rsid w:val="00BF01CF"/>
    <w:rsid w:val="00CA048F"/>
    <w:rsid w:val="00E024D2"/>
    <w:rsid w:val="00E54742"/>
    <w:rsid w:val="01614212"/>
    <w:rsid w:val="026752A9"/>
    <w:rsid w:val="03C2244D"/>
    <w:rsid w:val="049C7DEF"/>
    <w:rsid w:val="04A96372"/>
    <w:rsid w:val="04C2697B"/>
    <w:rsid w:val="05156224"/>
    <w:rsid w:val="05F231A4"/>
    <w:rsid w:val="069550DB"/>
    <w:rsid w:val="06AB7BA4"/>
    <w:rsid w:val="07CB6A82"/>
    <w:rsid w:val="084D2748"/>
    <w:rsid w:val="0C062F64"/>
    <w:rsid w:val="0F0A7121"/>
    <w:rsid w:val="0F18115A"/>
    <w:rsid w:val="0F4B3357"/>
    <w:rsid w:val="0F6F185A"/>
    <w:rsid w:val="0FDC5FFD"/>
    <w:rsid w:val="136923D4"/>
    <w:rsid w:val="14EF3B50"/>
    <w:rsid w:val="15BB6F18"/>
    <w:rsid w:val="1891657A"/>
    <w:rsid w:val="18ED55F2"/>
    <w:rsid w:val="197864DF"/>
    <w:rsid w:val="19A02C16"/>
    <w:rsid w:val="1A674D68"/>
    <w:rsid w:val="1A821FE7"/>
    <w:rsid w:val="1AC32CC4"/>
    <w:rsid w:val="1B9331E7"/>
    <w:rsid w:val="1E674D08"/>
    <w:rsid w:val="1EAB64DA"/>
    <w:rsid w:val="20347893"/>
    <w:rsid w:val="20752E9C"/>
    <w:rsid w:val="20ED716B"/>
    <w:rsid w:val="21420662"/>
    <w:rsid w:val="2190427C"/>
    <w:rsid w:val="23EF6F51"/>
    <w:rsid w:val="258855E3"/>
    <w:rsid w:val="25EE7947"/>
    <w:rsid w:val="263403FC"/>
    <w:rsid w:val="273E5672"/>
    <w:rsid w:val="288E0795"/>
    <w:rsid w:val="291D29FD"/>
    <w:rsid w:val="2B223F6D"/>
    <w:rsid w:val="2B6F4C9D"/>
    <w:rsid w:val="2C5E2E59"/>
    <w:rsid w:val="2DE23A3A"/>
    <w:rsid w:val="2E8E1287"/>
    <w:rsid w:val="300E3D77"/>
    <w:rsid w:val="30533016"/>
    <w:rsid w:val="30B80E03"/>
    <w:rsid w:val="33255290"/>
    <w:rsid w:val="33D877D8"/>
    <w:rsid w:val="35AE68A5"/>
    <w:rsid w:val="368B3EBD"/>
    <w:rsid w:val="36CD16A7"/>
    <w:rsid w:val="38E64707"/>
    <w:rsid w:val="3A8859B9"/>
    <w:rsid w:val="3DE61665"/>
    <w:rsid w:val="3E1153AE"/>
    <w:rsid w:val="3E516972"/>
    <w:rsid w:val="3EE47779"/>
    <w:rsid w:val="404969DC"/>
    <w:rsid w:val="40B53B29"/>
    <w:rsid w:val="41A437D2"/>
    <w:rsid w:val="43CB6518"/>
    <w:rsid w:val="43D60DED"/>
    <w:rsid w:val="44FE14DD"/>
    <w:rsid w:val="49E56F9C"/>
    <w:rsid w:val="4A926FD7"/>
    <w:rsid w:val="4DD15688"/>
    <w:rsid w:val="4F070E89"/>
    <w:rsid w:val="4F374648"/>
    <w:rsid w:val="4F4451D2"/>
    <w:rsid w:val="51237888"/>
    <w:rsid w:val="51BA42A7"/>
    <w:rsid w:val="520F6E89"/>
    <w:rsid w:val="53203621"/>
    <w:rsid w:val="54DA00D3"/>
    <w:rsid w:val="554E0C20"/>
    <w:rsid w:val="568F07C7"/>
    <w:rsid w:val="57252998"/>
    <w:rsid w:val="59B56326"/>
    <w:rsid w:val="5A0C4685"/>
    <w:rsid w:val="5A553285"/>
    <w:rsid w:val="5AB43B01"/>
    <w:rsid w:val="5D55237F"/>
    <w:rsid w:val="5F12091C"/>
    <w:rsid w:val="5FB20796"/>
    <w:rsid w:val="5FBDFEA1"/>
    <w:rsid w:val="5FC44E2D"/>
    <w:rsid w:val="5FD626AD"/>
    <w:rsid w:val="604010EC"/>
    <w:rsid w:val="610E05D3"/>
    <w:rsid w:val="62215294"/>
    <w:rsid w:val="62D6600A"/>
    <w:rsid w:val="65FC618C"/>
    <w:rsid w:val="660310CC"/>
    <w:rsid w:val="66161B6A"/>
    <w:rsid w:val="66984919"/>
    <w:rsid w:val="66F07E69"/>
    <w:rsid w:val="671B478E"/>
    <w:rsid w:val="676F702D"/>
    <w:rsid w:val="6A582252"/>
    <w:rsid w:val="6AD82D16"/>
    <w:rsid w:val="6B464D38"/>
    <w:rsid w:val="6BDF3DCF"/>
    <w:rsid w:val="6C5075F1"/>
    <w:rsid w:val="6C670BB6"/>
    <w:rsid w:val="6DD40FF8"/>
    <w:rsid w:val="6E7038AC"/>
    <w:rsid w:val="71565F3F"/>
    <w:rsid w:val="72502DE7"/>
    <w:rsid w:val="74114A65"/>
    <w:rsid w:val="74DC7A51"/>
    <w:rsid w:val="753554DD"/>
    <w:rsid w:val="75A24B0F"/>
    <w:rsid w:val="76044EC4"/>
    <w:rsid w:val="76AB03E2"/>
    <w:rsid w:val="76D1210E"/>
    <w:rsid w:val="77AC22DD"/>
    <w:rsid w:val="77B83789"/>
    <w:rsid w:val="78691D8F"/>
    <w:rsid w:val="78F52A46"/>
    <w:rsid w:val="793C6850"/>
    <w:rsid w:val="7ABC43C8"/>
    <w:rsid w:val="7CA67A3C"/>
    <w:rsid w:val="7DAE3E8B"/>
    <w:rsid w:val="7E77AE1E"/>
    <w:rsid w:val="7FB6D2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480" w:firstLineChars="200"/>
      <w:jc w:val="both"/>
    </w:pPr>
    <w:rPr>
      <w:rFonts w:ascii="宋体" w:hAnsi="宋体" w:eastAsia="仿宋" w:cs="Times New Roman"/>
      <w:kern w:val="2"/>
      <w:sz w:val="30"/>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spacing w:line="240" w:lineRule="auto"/>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eastAsia="宋体"/>
      <w:kern w:val="0"/>
      <w:sz w:val="24"/>
      <w:szCs w:val="24"/>
    </w:rPr>
  </w:style>
  <w:style w:type="character" w:customStyle="1" w:styleId="7">
    <w:name w:val="页眉 Char"/>
    <w:basedOn w:val="6"/>
    <w:link w:val="3"/>
    <w:qFormat/>
    <w:uiPriority w:val="0"/>
    <w:rPr>
      <w:rFonts w:ascii="宋体" w:hAnsi="宋体"/>
      <w:kern w:val="2"/>
      <w:sz w:val="18"/>
      <w:szCs w:val="18"/>
    </w:rPr>
  </w:style>
  <w:style w:type="character" w:customStyle="1" w:styleId="8">
    <w:name w:val="页脚 Char"/>
    <w:basedOn w:val="6"/>
    <w:link w:val="2"/>
    <w:qFormat/>
    <w:uiPriority w:val="0"/>
    <w:rPr>
      <w:rFonts w:ascii="宋体" w:hAns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332</Words>
  <Characters>1894</Characters>
  <Lines>15</Lines>
  <Paragraphs>4</Paragraphs>
  <TotalTime>1</TotalTime>
  <ScaleCrop>false</ScaleCrop>
  <LinksUpToDate>false</LinksUpToDate>
  <CharactersWithSpaces>2222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2021-01-19T07:13:00Z</dcterms:created>
  <dc:creator>Administrator</dc:creator>
  <cp:lastModifiedBy>琛～</cp:lastModifiedBy>
  <dcterms:modified xsi:type="dcterms:W3CDTF">2024-04-09T02:51:35Z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2CF270DEABCC4AC0B2D61ED60F3256AC</vt:lpwstr>
  </property>
</Properties>
</file>