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center"/>
        <w:rPr>
          <w:rFonts w:hint="default" w:ascii="Times New Roman" w:hAnsi="Times New Roman" w:eastAsia="仿宋" w:cs="Times New Roman"/>
          <w:b/>
          <w:bCs/>
          <w:i w:val="0"/>
          <w:iCs w:val="0"/>
          <w:color w:val="000000"/>
          <w:kern w:val="0"/>
          <w:sz w:val="52"/>
          <w:szCs w:val="52"/>
          <w:u w:val="none"/>
          <w:lang w:val="en-US" w:eastAsia="zh-CN" w:bidi="ar"/>
        </w:rPr>
      </w:pPr>
      <w:r>
        <w:rPr>
          <w:rFonts w:hint="default" w:ascii="Times New Roman" w:hAnsi="Times New Roman" w:eastAsia="仿宋" w:cs="Times New Roman"/>
          <w:b/>
          <w:bCs/>
          <w:i w:val="0"/>
          <w:iCs w:val="0"/>
          <w:color w:val="000000"/>
          <w:kern w:val="0"/>
          <w:sz w:val="52"/>
          <w:szCs w:val="52"/>
          <w:u w:val="none"/>
          <w:lang w:val="en-US" w:eastAsia="zh-Hans" w:bidi="ar"/>
        </w:rPr>
        <w:t>项目</w:t>
      </w:r>
      <w:r>
        <w:rPr>
          <w:rFonts w:hint="default" w:ascii="Times New Roman" w:hAnsi="Times New Roman" w:eastAsia="仿宋" w:cs="Times New Roman"/>
          <w:b/>
          <w:bCs/>
          <w:i w:val="0"/>
          <w:iCs w:val="0"/>
          <w:color w:val="000000"/>
          <w:kern w:val="0"/>
          <w:sz w:val="52"/>
          <w:szCs w:val="52"/>
          <w:u w:val="none"/>
          <w:lang w:val="en-US" w:eastAsia="zh-CN" w:bidi="ar"/>
        </w:rPr>
        <w:t>绩效自评报告</w:t>
      </w:r>
    </w:p>
    <w:p>
      <w:pPr>
        <w:pStyle w:val="4"/>
        <w:keepNext w:val="0"/>
        <w:keepLines w:val="0"/>
        <w:widowControl/>
        <w:suppressLineNumbers w:val="0"/>
        <w:shd w:val="clear" w:fill="FFFFFF"/>
        <w:ind w:left="0" w:leftChars="0" w:firstLine="0" w:firstLineChars="0"/>
        <w:jc w:val="center"/>
        <w:rPr>
          <w:rFonts w:hint="default" w:ascii="Times New Roman" w:hAnsi="Times New Roman" w:eastAsia="仿宋" w:cs="Times New Roman"/>
          <w:b/>
          <w:bCs/>
          <w:i w:val="0"/>
          <w:iCs w:val="0"/>
          <w:color w:val="000000"/>
          <w:kern w:val="0"/>
          <w:sz w:val="36"/>
          <w:szCs w:val="36"/>
          <w:u w:val="none"/>
          <w:lang w:val="en-US" w:eastAsia="zh-CN" w:bidi="ar"/>
        </w:rPr>
      </w:pPr>
      <w:r>
        <w:rPr>
          <w:rFonts w:hint="default" w:ascii="Times New Roman" w:hAnsi="Times New Roman" w:eastAsia="仿宋" w:cs="Times New Roman"/>
          <w:b/>
          <w:bCs/>
          <w:i w:val="0"/>
          <w:iCs w:val="0"/>
          <w:color w:val="000000"/>
          <w:kern w:val="0"/>
          <w:sz w:val="36"/>
          <w:szCs w:val="36"/>
          <w:u w:val="none"/>
          <w:lang w:val="en-US" w:eastAsia="zh-CN" w:bidi="ar"/>
        </w:rPr>
        <w:t>（</w:t>
      </w:r>
      <w:r>
        <w:rPr>
          <w:rFonts w:hint="default" w:ascii="Times New Roman" w:hAnsi="Times New Roman" w:eastAsia="仿宋" w:cs="Times New Roman"/>
          <w:sz w:val="44"/>
          <w:szCs w:val="44"/>
        </w:rPr>
        <w:t>202</w:t>
      </w:r>
      <w:r>
        <w:rPr>
          <w:rFonts w:hint="eastAsia" w:ascii="Times New Roman" w:hAnsi="Times New Roman" w:eastAsia="仿宋" w:cs="Times New Roman"/>
          <w:sz w:val="44"/>
          <w:szCs w:val="44"/>
          <w:lang w:val="en-US" w:eastAsia="zh-CN"/>
        </w:rPr>
        <w:t>3</w:t>
      </w:r>
      <w:r>
        <w:rPr>
          <w:rFonts w:hint="default" w:ascii="Times New Roman" w:hAnsi="Times New Roman" w:eastAsia="仿宋" w:cs="Times New Roman"/>
          <w:b/>
          <w:bCs/>
          <w:i w:val="0"/>
          <w:iCs w:val="0"/>
          <w:color w:val="000000"/>
          <w:kern w:val="0"/>
          <w:sz w:val="36"/>
          <w:szCs w:val="36"/>
          <w:u w:val="none"/>
          <w:lang w:val="en-US" w:eastAsia="zh-CN" w:bidi="ar"/>
        </w:rPr>
        <w:t>年度）</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项目名称：</w:t>
      </w:r>
      <w:r>
        <w:rPr>
          <w:rFonts w:hint="default" w:ascii="Times New Roman" w:hAnsi="Times New Roman" w:eastAsia="仿宋" w:cs="Times New Roman"/>
          <w:b/>
          <w:sz w:val="32"/>
        </w:rPr>
        <w:t>部门（单位）整体支出</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主管部门：</w:t>
      </w:r>
      <w:r>
        <w:rPr>
          <w:rFonts w:hint="default" w:ascii="Times New Roman" w:hAnsi="Times New Roman" w:eastAsia="仿宋" w:cs="Times New Roman"/>
          <w:b/>
          <w:sz w:val="32"/>
        </w:rPr>
        <w:t>内蒙古自治区信访局部门</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年月日</w:t>
      </w:r>
    </w:p>
    <w:p>
      <w:pPr>
        <w:ind w:firstLine="1606" w:firstLineChars="500"/>
        <w:rPr>
          <w:rFonts w:hint="default" w:ascii="Times New Roman" w:hAnsi="Times New Roman" w:eastAsia="仿宋" w:cs="Times New Roman"/>
          <w:b/>
          <w:bCs/>
          <w:i w:val="0"/>
          <w:iCs w:val="0"/>
          <w:color w:val="000000"/>
          <w:kern w:val="0"/>
          <w:sz w:val="24"/>
          <w:szCs w:val="24"/>
          <w:u w:val="none"/>
          <w:lang w:val="en-US" w:eastAsia="zh-CN" w:bidi="ar"/>
        </w:rPr>
      </w:pPr>
      <w:r>
        <w:rPr>
          <w:rFonts w:hint="default" w:ascii="Times New Roman" w:hAnsi="Times New Roman" w:eastAsia="仿宋" w:cs="Times New Roman"/>
          <w:b/>
          <w:bCs/>
          <w:kern w:val="2"/>
          <w:sz w:val="32"/>
          <w:szCs w:val="32"/>
          <w:vertAlign w:val="baseline"/>
          <w:lang w:val="en-US" w:eastAsia="zh-CN" w:bidi="ar-SA"/>
        </w:rPr>
        <w:t>（盖章）</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spacing w:line="620" w:lineRule="exact"/>
        <w:ind w:firstLine="880"/>
        <w:jc w:val="center"/>
        <w:rPr>
          <w:rFonts w:hint="default" w:ascii="Times New Roman" w:hAnsi="Times New Roman" w:eastAsia="仿宋" w:cs="Times New Roman"/>
          <w:b/>
          <w:bCs/>
          <w:sz w:val="44"/>
          <w:lang w:eastAsia="zh-CN"/>
        </w:rPr>
      </w:pPr>
      <w:r>
        <w:rPr>
          <w:rFonts w:hint="default" w:ascii="Times New Roman" w:hAnsi="Times New Roman" w:eastAsia="仿宋" w:cs="Times New Roman"/>
          <w:b/>
          <w:bCs/>
          <w:sz w:val="44"/>
          <w:szCs w:val="44"/>
        </w:rPr>
        <w:t>202</w:t>
      </w:r>
      <w:r>
        <w:rPr>
          <w:rFonts w:hint="eastAsia" w:ascii="Times New Roman" w:hAnsi="Times New Roman" w:cs="Times New Roman"/>
          <w:b/>
          <w:bCs/>
          <w:sz w:val="44"/>
          <w:szCs w:val="44"/>
          <w:lang w:val="en-US" w:eastAsia="zh-CN"/>
        </w:rPr>
        <w:t>3</w:t>
      </w:r>
      <w:r>
        <w:rPr>
          <w:rFonts w:hint="default" w:ascii="Times New Roman" w:hAnsi="Times New Roman" w:eastAsia="仿宋" w:cs="Times New Roman"/>
          <w:b/>
          <w:bCs/>
          <w:sz w:val="44"/>
          <w:szCs w:val="44"/>
        </w:rPr>
        <w:t>年</w:t>
      </w:r>
      <w:r>
        <w:rPr>
          <w:rFonts w:hint="default" w:ascii="Times New Roman" w:hAnsi="Times New Roman" w:eastAsia="仿宋" w:cs="Times New Roman"/>
          <w:b/>
          <w:bCs/>
          <w:sz w:val="44"/>
          <w:lang w:eastAsia="zh-CN"/>
        </w:rPr>
        <w:t>部门（单位）整体支出</w:t>
      </w:r>
    </w:p>
    <w:p>
      <w:pPr>
        <w:spacing w:line="620" w:lineRule="exact"/>
        <w:ind w:firstLine="880"/>
        <w:jc w:val="center"/>
        <w:rPr>
          <w:rFonts w:hint="default" w:ascii="Times New Roman" w:hAnsi="Times New Roman" w:eastAsia="仿宋" w:cs="Times New Roman"/>
          <w:b/>
          <w:bCs/>
          <w:sz w:val="44"/>
          <w:szCs w:val="44"/>
        </w:rPr>
      </w:pPr>
      <w:r>
        <w:rPr>
          <w:rFonts w:hint="default" w:ascii="Times New Roman" w:hAnsi="Times New Roman" w:eastAsia="仿宋" w:cs="Times New Roman"/>
          <w:b/>
          <w:bCs/>
          <w:sz w:val="44"/>
        </w:rPr>
        <w:t>绩效自评报告</w:t>
      </w:r>
    </w:p>
    <w:p>
      <w:pPr>
        <w:numPr>
          <w:ilvl w:val="0"/>
          <w:numId w:val="1"/>
        </w:numPr>
        <w:spacing w:line="240" w:lineRule="auto"/>
        <w:ind w:left="0" w:firstLine="0" w:firstLineChars="0"/>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项目</w:t>
      </w:r>
      <w:r>
        <w:rPr>
          <w:rFonts w:hint="default" w:ascii="Times New Roman" w:hAnsi="Times New Roman" w:eastAsia="仿宋" w:cs="Times New Roman"/>
          <w:b/>
          <w:sz w:val="32"/>
          <w:szCs w:val="32"/>
          <w:lang w:val="en-US" w:eastAsia="zh-CN"/>
        </w:rPr>
        <w:t>基本</w:t>
      </w:r>
      <w:r>
        <w:rPr>
          <w:rFonts w:hint="default" w:ascii="Times New Roman" w:hAnsi="Times New Roman" w:eastAsia="仿宋" w:cs="Times New Roman"/>
          <w:b/>
          <w:sz w:val="32"/>
          <w:szCs w:val="32"/>
        </w:rPr>
        <w:t>情况</w:t>
      </w:r>
    </w:p>
    <w:p>
      <w:pPr>
        <w:spacing w:before="188" w:line="204" w:lineRule="auto"/>
        <w:ind w:firstLine="577"/>
        <w:rPr>
          <w:rFonts w:hint="default" w:ascii="Times New Roman" w:hAnsi="Times New Roman" w:eastAsia="仿宋" w:cs="Times New Roman"/>
          <w:b/>
          <w:bCs/>
          <w:sz w:val="32"/>
          <w:szCs w:val="32"/>
        </w:rPr>
      </w:pPr>
      <w:r>
        <w:rPr>
          <w:rFonts w:hint="default" w:ascii="Times New Roman" w:hAnsi="Times New Roman" w:eastAsia="仿宋" w:cs="Times New Roman"/>
          <w:b/>
          <w:bCs/>
          <w:spacing w:val="3"/>
          <w:sz w:val="32"/>
          <w:szCs w:val="32"/>
        </w:rPr>
        <w:t>（一）</w:t>
      </w:r>
      <w:r>
        <w:rPr>
          <w:rFonts w:hint="default" w:ascii="Times New Roman" w:hAnsi="Times New Roman" w:eastAsia="仿宋" w:cs="Times New Roman"/>
          <w:b/>
          <w:bCs/>
          <w:spacing w:val="3"/>
          <w:sz w:val="32"/>
          <w:szCs w:val="32"/>
          <w:lang w:val="en-US" w:eastAsia="zh-CN"/>
        </w:rPr>
        <w:t>职责</w:t>
      </w:r>
      <w:r>
        <w:rPr>
          <w:rFonts w:hint="default" w:ascii="Times New Roman" w:hAnsi="Times New Roman" w:eastAsia="仿宋" w:cs="Times New Roman"/>
          <w:b/>
          <w:bCs/>
          <w:spacing w:val="3"/>
          <w:sz w:val="32"/>
          <w:szCs w:val="32"/>
        </w:rPr>
        <w:t>简介</w:t>
      </w:r>
    </w:p>
    <w:p>
      <w:pPr>
        <w:bidi w:val="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内蒙古自治区信访局是内蒙古自治区人民政府直属机构，负责全区信访工作。</w:t>
      </w:r>
    </w:p>
    <w:p>
      <w:pPr>
        <w:bidi w:val="0"/>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部门主要职责</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贯彻执行党中央、国务院和自治区党委、政府关于信访工作的方针政策;承办党中央、国务院和自治区党委、政府及领导同志批办的信访案件的交办、督办、结案等工作;负责指导自治区党委、政府各部门、人民团体及各盟市的信访工作。</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负责向自治区党委、政府及领导同志反映群众来信、来电、来访中提出的重要建议、意见和问题;负责处理公民、法人及其它组织给自治区党委、政府及领导同志的来信、来电(电子邮件、电话、传真等)，接待来访。</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3.负责对全区信访工作进行协调指导，研究、起草有关信访工作的政策，总结推广各地区、各部门信访工作经验，提出改进和加强信访工作的意见和建议。</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4.负责协调、督导、办理自治区领导同志交办的信访事项并抓好落实;负责向盟市和部门转办、交办信访事项，督促检查重要信访事项的处理和落实情况;负责协调、督促、处理跨地区、跨部门的重要信访问题。</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5.负责综合分析研判信访信息，开展调查研究，向自治区党委、政府提出制定、修改、完善有关政策和法规的建议。</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6.负责指导、维护、管理全区信访信息系统;负责信访热线电话、网上信访、主席信箱的受理、办理、答复等工作。</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7.负责指导全区信访工作部门干部队伍建设，抓好信访工作人才队伍建设;负责指导信访系统党风廉政建设;负责全区信访干部队伍的培训工作。</w:t>
      </w:r>
    </w:p>
    <w:p>
      <w:pPr>
        <w:bidi w:val="0"/>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负责自治区处理信访突出问题及群体性事件联席会议办公室具体工作，督促落实自治区处理信访突出问题及群体性事件联席会议决定的事项，综合分析、组织协调、督促检查地方和部门处理信访突出问题及群体性事件工作，总结推广成功经验，推动信访工作深入开展。</w:t>
      </w:r>
    </w:p>
    <w:p>
      <w:pPr>
        <w:bidi w:val="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9.承办自治区党委、政府交办的其他事项。</w:t>
      </w:r>
    </w:p>
    <w:p>
      <w:pPr>
        <w:bidi w:val="0"/>
        <w:rPr>
          <w:rFonts w:hint="default" w:ascii="Times New Roman" w:hAnsi="Times New Roman" w:eastAsia="仿宋" w:cs="Times New Roman"/>
          <w:b/>
          <w:bCs/>
          <w:spacing w:val="8"/>
          <w:sz w:val="32"/>
          <w:szCs w:val="32"/>
        </w:rPr>
      </w:pPr>
      <w:r>
        <w:rPr>
          <w:rFonts w:hint="default" w:ascii="Times New Roman" w:hAnsi="Times New Roman" w:eastAsia="仿宋" w:cs="Times New Roman"/>
          <w:b/>
          <w:bCs/>
          <w:spacing w:val="8"/>
          <w:sz w:val="32"/>
          <w:szCs w:val="32"/>
          <w:lang w:eastAsia="zh-CN"/>
        </w:rPr>
        <w:t>（</w:t>
      </w:r>
      <w:r>
        <w:rPr>
          <w:rFonts w:hint="default" w:ascii="Times New Roman" w:hAnsi="Times New Roman" w:eastAsia="仿宋" w:cs="Times New Roman"/>
          <w:b/>
          <w:bCs/>
          <w:spacing w:val="8"/>
          <w:sz w:val="32"/>
          <w:szCs w:val="32"/>
          <w:lang w:val="en-US" w:eastAsia="zh-CN"/>
        </w:rPr>
        <w:t>二</w:t>
      </w:r>
      <w:r>
        <w:rPr>
          <w:rFonts w:hint="default" w:ascii="Times New Roman" w:hAnsi="Times New Roman" w:eastAsia="仿宋" w:cs="Times New Roman"/>
          <w:b/>
          <w:bCs/>
          <w:spacing w:val="8"/>
          <w:sz w:val="32"/>
          <w:szCs w:val="32"/>
          <w:lang w:eastAsia="zh-CN"/>
        </w:rPr>
        <w:t>）</w:t>
      </w:r>
      <w:r>
        <w:rPr>
          <w:rFonts w:hint="default" w:ascii="Times New Roman" w:hAnsi="Times New Roman" w:eastAsia="仿宋" w:cs="Times New Roman"/>
          <w:b/>
          <w:bCs/>
          <w:spacing w:val="8"/>
          <w:sz w:val="32"/>
          <w:szCs w:val="32"/>
        </w:rPr>
        <w:t>绩效目标设定及</w:t>
      </w:r>
      <w:r>
        <w:rPr>
          <w:rFonts w:hint="default" w:ascii="Times New Roman" w:hAnsi="Times New Roman" w:eastAsia="仿宋" w:cs="Times New Roman"/>
          <w:b/>
          <w:bCs/>
          <w:spacing w:val="8"/>
          <w:sz w:val="32"/>
          <w:szCs w:val="32"/>
          <w:lang w:val="en-US" w:eastAsia="zh-CN"/>
        </w:rPr>
        <w:t>指标</w:t>
      </w:r>
      <w:r>
        <w:rPr>
          <w:rFonts w:hint="default" w:ascii="Times New Roman" w:hAnsi="Times New Roman" w:eastAsia="仿宋" w:cs="Times New Roman"/>
          <w:b/>
          <w:bCs/>
          <w:spacing w:val="8"/>
          <w:sz w:val="32"/>
          <w:szCs w:val="32"/>
        </w:rPr>
        <w:t>完成情况</w:t>
      </w:r>
    </w:p>
    <w:p>
      <w:pPr>
        <w:bidi w:val="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预期目标：认真贯彻中央自治区关于信访工作决策部署；准确把握新时代信访形势，坚持问题导向，强化分析研判，大力开展信访矛盾化解攻坚和社会矛盾纠纷排查化解；依法治理规范信访秩序，深化信访工作制度改革，扎实推进信访工作规范化、责任制、法制化、信息化。</w:t>
      </w:r>
    </w:p>
    <w:p>
      <w:pPr>
        <w:bidi w:val="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绩效目标实际完成情况：一年来，局党组认真落实中央、自治区关于信访工作决策部署，坚持以人民为中心，突出问题导向，采取有力措施，推动解决群众合理诉求，维护群众合法权益，各项工作取得明显成效。国务院副秘书长、国家信访局局长李文章到我区督导调研时，对我区信访工作给予高度评价。</w:t>
      </w:r>
    </w:p>
    <w:p>
      <w:pPr>
        <w:numPr>
          <w:ilvl w:val="0"/>
          <w:numId w:val="1"/>
        </w:numPr>
        <w:spacing w:line="240" w:lineRule="auto"/>
        <w:ind w:left="0" w:firstLine="0" w:firstLineChars="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绩效自评工作</w:t>
      </w:r>
      <w:r>
        <w:rPr>
          <w:rFonts w:hint="default" w:ascii="Times New Roman" w:hAnsi="Times New Roman" w:eastAsia="仿宋" w:cs="Times New Roman"/>
          <w:b/>
          <w:sz w:val="32"/>
          <w:szCs w:val="32"/>
        </w:rPr>
        <w:t>情况</w:t>
      </w:r>
    </w:p>
    <w:p>
      <w:pPr>
        <w:numPr>
          <w:ilvl w:val="0"/>
          <w:numId w:val="0"/>
        </w:numPr>
        <w:spacing w:before="188" w:line="204" w:lineRule="auto"/>
        <w:ind w:firstLine="647" w:firstLineChars="200"/>
        <w:rPr>
          <w:rFonts w:hint="default" w:ascii="Times New Roman" w:hAnsi="Times New Roman" w:eastAsia="仿宋" w:cs="Times New Roman"/>
          <w:b/>
          <w:bCs/>
          <w:spacing w:val="1"/>
          <w:sz w:val="32"/>
          <w:szCs w:val="32"/>
        </w:rPr>
      </w:pPr>
      <w:r>
        <w:rPr>
          <w:rFonts w:hint="default" w:ascii="Times New Roman" w:hAnsi="Times New Roman" w:eastAsia="仿宋" w:cs="Times New Roman"/>
          <w:b/>
          <w:bCs/>
          <w:spacing w:val="1"/>
          <w:kern w:val="2"/>
          <w:sz w:val="32"/>
          <w:szCs w:val="32"/>
          <w:lang w:val="en-US" w:eastAsia="zh-CN" w:bidi="ar-SA"/>
        </w:rPr>
        <w:t>（一）</w:t>
      </w:r>
      <w:r>
        <w:rPr>
          <w:rFonts w:hint="default" w:ascii="Times New Roman" w:hAnsi="Times New Roman" w:eastAsia="仿宋" w:cs="Times New Roman"/>
          <w:b/>
          <w:bCs/>
          <w:spacing w:val="1"/>
          <w:sz w:val="32"/>
          <w:szCs w:val="32"/>
        </w:rPr>
        <w:t>绩效自评目的</w:t>
      </w:r>
    </w:p>
    <w:p>
      <w:pPr>
        <w:bidi w:val="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通过绩效自评，全面掌握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spacing w:before="189" w:line="204" w:lineRule="auto"/>
        <w:ind w:firstLine="577"/>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sz w:val="32"/>
          <w:szCs w:val="32"/>
        </w:rPr>
        <w:t>（二）项目资金投入情况</w:t>
      </w:r>
    </w:p>
    <w:p>
      <w:pPr>
        <w:keepNext w:val="0"/>
        <w:keepLines w:val="0"/>
        <w:pageBreakBefore w:val="0"/>
        <w:widowControl/>
        <w:kinsoku w:val="0"/>
        <w:wordWrap/>
        <w:overflowPunct/>
        <w:topLinePunct w:val="0"/>
        <w:autoSpaceDE w:val="0"/>
        <w:autoSpaceDN w:val="0"/>
        <w:bidi w:val="0"/>
        <w:adjustRightInd w:val="0"/>
        <w:snapToGrid w:val="0"/>
        <w:spacing w:before="189" w:line="312" w:lineRule="auto"/>
        <w:ind w:left="420" w:leftChars="0" w:firstLine="420" w:firstLineChars="0"/>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本年度资金年初预算数</w:t>
      </w:r>
      <w:r>
        <w:rPr>
          <w:rFonts w:hint="eastAsia" w:ascii="Times New Roman" w:hAnsi="Times New Roman" w:cs="Times New Roman"/>
          <w:color w:val="auto"/>
          <w:spacing w:val="4"/>
          <w:sz w:val="32"/>
          <w:szCs w:val="32"/>
          <w:lang w:val="en-US" w:eastAsia="zh-CN"/>
        </w:rPr>
        <w:t>5</w:t>
      </w:r>
      <w:r>
        <w:rPr>
          <w:rFonts w:hint="default" w:ascii="Times New Roman" w:hAnsi="Times New Roman" w:eastAsia="仿宋" w:cs="Times New Roman"/>
          <w:color w:val="auto"/>
          <w:spacing w:val="4"/>
          <w:sz w:val="32"/>
          <w:szCs w:val="32"/>
          <w:lang w:val="en-US" w:eastAsia="zh-CN"/>
        </w:rPr>
        <w:t>,</w:t>
      </w:r>
      <w:r>
        <w:rPr>
          <w:rFonts w:hint="eastAsia" w:ascii="Times New Roman" w:hAnsi="Times New Roman" w:cs="Times New Roman"/>
          <w:color w:val="auto"/>
          <w:spacing w:val="4"/>
          <w:sz w:val="32"/>
          <w:szCs w:val="32"/>
          <w:lang w:val="en-US" w:eastAsia="zh-CN"/>
        </w:rPr>
        <w:t>798.16</w:t>
      </w:r>
      <w:r>
        <w:rPr>
          <w:rFonts w:hint="default" w:ascii="Times New Roman" w:hAnsi="Times New Roman" w:eastAsia="仿宋" w:cs="Times New Roman"/>
          <w:color w:val="auto"/>
          <w:spacing w:val="4"/>
          <w:sz w:val="32"/>
          <w:szCs w:val="32"/>
        </w:rPr>
        <w:t>万元，其中：财政拨款</w:t>
      </w:r>
      <w:r>
        <w:rPr>
          <w:rFonts w:hint="eastAsia" w:ascii="Times New Roman" w:hAnsi="Times New Roman" w:cs="Times New Roman"/>
          <w:color w:val="auto"/>
          <w:spacing w:val="4"/>
          <w:sz w:val="32"/>
          <w:szCs w:val="32"/>
          <w:lang w:val="en-US" w:eastAsia="zh-CN"/>
        </w:rPr>
        <w:t>5</w:t>
      </w:r>
      <w:r>
        <w:rPr>
          <w:rFonts w:hint="default" w:ascii="Times New Roman" w:hAnsi="Times New Roman" w:eastAsia="仿宋" w:cs="Times New Roman"/>
          <w:color w:val="auto"/>
          <w:spacing w:val="4"/>
          <w:sz w:val="32"/>
          <w:szCs w:val="32"/>
          <w:lang w:val="en-US" w:eastAsia="zh-CN"/>
        </w:rPr>
        <w:t>,</w:t>
      </w:r>
      <w:r>
        <w:rPr>
          <w:rFonts w:hint="eastAsia" w:ascii="Times New Roman" w:hAnsi="Times New Roman" w:cs="Times New Roman"/>
          <w:color w:val="auto"/>
          <w:spacing w:val="4"/>
          <w:sz w:val="32"/>
          <w:szCs w:val="32"/>
          <w:lang w:val="en-US" w:eastAsia="zh-CN"/>
        </w:rPr>
        <w:t>798.16</w:t>
      </w:r>
      <w:r>
        <w:rPr>
          <w:rFonts w:hint="default" w:ascii="Times New Roman" w:hAnsi="Times New Roman" w:eastAsia="仿宋" w:cs="Times New Roman"/>
          <w:color w:val="auto"/>
          <w:spacing w:val="4"/>
          <w:sz w:val="32"/>
          <w:szCs w:val="32"/>
        </w:rPr>
        <w:t>万元，其他资金0万元。</w:t>
      </w:r>
    </w:p>
    <w:p>
      <w:pPr>
        <w:keepNext w:val="0"/>
        <w:keepLines w:val="0"/>
        <w:pageBreakBefore w:val="0"/>
        <w:widowControl/>
        <w:kinsoku w:val="0"/>
        <w:wordWrap/>
        <w:overflowPunct/>
        <w:topLinePunct w:val="0"/>
        <w:autoSpaceDE w:val="0"/>
        <w:autoSpaceDN w:val="0"/>
        <w:bidi w:val="0"/>
        <w:adjustRightInd w:val="0"/>
        <w:snapToGrid w:val="0"/>
        <w:spacing w:before="189" w:line="312" w:lineRule="auto"/>
        <w:ind w:left="420" w:leftChars="0" w:firstLine="420" w:firstLineChars="0"/>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本年度资金全年预算数</w:t>
      </w:r>
      <w:r>
        <w:rPr>
          <w:rFonts w:hint="default" w:ascii="Times New Roman" w:hAnsi="Times New Roman" w:eastAsia="仿宋" w:cs="Times New Roman"/>
          <w:color w:val="auto"/>
          <w:spacing w:val="4"/>
          <w:sz w:val="32"/>
          <w:szCs w:val="32"/>
        </w:rPr>
        <w:t>3</w:t>
      </w:r>
      <w:r>
        <w:rPr>
          <w:rFonts w:hint="default" w:ascii="Times New Roman" w:hAnsi="Times New Roman" w:eastAsia="仿宋" w:cs="Times New Roman"/>
          <w:color w:val="auto"/>
          <w:spacing w:val="4"/>
          <w:sz w:val="32"/>
          <w:szCs w:val="32"/>
          <w:lang w:val="en-US" w:eastAsia="zh-CN"/>
        </w:rPr>
        <w:t>,</w:t>
      </w:r>
      <w:r>
        <w:rPr>
          <w:rFonts w:hint="default" w:ascii="Times New Roman" w:hAnsi="Times New Roman" w:eastAsia="仿宋" w:cs="Times New Roman"/>
          <w:color w:val="auto"/>
          <w:spacing w:val="4"/>
          <w:sz w:val="32"/>
          <w:szCs w:val="32"/>
        </w:rPr>
        <w:t>888.02万元，其中：财政拨款3</w:t>
      </w:r>
      <w:r>
        <w:rPr>
          <w:rFonts w:hint="default" w:ascii="Times New Roman" w:hAnsi="Times New Roman" w:eastAsia="仿宋" w:cs="Times New Roman"/>
          <w:color w:val="auto"/>
          <w:spacing w:val="4"/>
          <w:sz w:val="32"/>
          <w:szCs w:val="32"/>
          <w:lang w:val="en-US" w:eastAsia="zh-CN"/>
        </w:rPr>
        <w:t>,</w:t>
      </w:r>
      <w:r>
        <w:rPr>
          <w:rFonts w:hint="default" w:ascii="Times New Roman" w:hAnsi="Times New Roman" w:eastAsia="仿宋" w:cs="Times New Roman"/>
          <w:color w:val="auto"/>
          <w:spacing w:val="4"/>
          <w:sz w:val="32"/>
          <w:szCs w:val="32"/>
        </w:rPr>
        <w:t>888.02万元，其他资金0万元。</w:t>
      </w:r>
    </w:p>
    <w:p>
      <w:pPr>
        <w:keepNext w:val="0"/>
        <w:keepLines w:val="0"/>
        <w:pageBreakBefore w:val="0"/>
        <w:widowControl/>
        <w:kinsoku w:val="0"/>
        <w:wordWrap/>
        <w:overflowPunct/>
        <w:topLinePunct w:val="0"/>
        <w:autoSpaceDE w:val="0"/>
        <w:autoSpaceDN w:val="0"/>
        <w:bidi w:val="0"/>
        <w:adjustRightInd w:val="0"/>
        <w:snapToGrid w:val="0"/>
        <w:spacing w:before="189" w:line="312" w:lineRule="auto"/>
        <w:ind w:left="420" w:leftChars="0" w:firstLine="420" w:firstLineChars="0"/>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本年度资金全年执行数4</w:t>
      </w:r>
      <w:r>
        <w:rPr>
          <w:rFonts w:hint="eastAsia" w:ascii="Times New Roman" w:hAnsi="Times New Roman" w:cs="Times New Roman"/>
          <w:color w:val="auto"/>
          <w:spacing w:val="4"/>
          <w:sz w:val="32"/>
          <w:szCs w:val="32"/>
          <w:lang w:val="en-US" w:eastAsia="zh-CN"/>
        </w:rPr>
        <w:t>,</w:t>
      </w:r>
      <w:r>
        <w:rPr>
          <w:rFonts w:hint="default" w:ascii="Times New Roman" w:hAnsi="Times New Roman" w:eastAsia="仿宋" w:cs="Times New Roman"/>
          <w:color w:val="auto"/>
          <w:spacing w:val="4"/>
          <w:sz w:val="32"/>
          <w:szCs w:val="32"/>
          <w:lang w:val="en-US" w:eastAsia="zh-CN"/>
        </w:rPr>
        <w:t>454.16</w:t>
      </w:r>
      <w:r>
        <w:rPr>
          <w:rFonts w:hint="default" w:ascii="Times New Roman" w:hAnsi="Times New Roman" w:eastAsia="仿宋" w:cs="Times New Roman"/>
          <w:color w:val="auto"/>
          <w:spacing w:val="4"/>
          <w:sz w:val="32"/>
          <w:szCs w:val="32"/>
        </w:rPr>
        <w:t>万元，其中：财政拨款</w:t>
      </w:r>
      <w:r>
        <w:rPr>
          <w:rFonts w:hint="default" w:ascii="Times New Roman" w:hAnsi="Times New Roman" w:eastAsia="仿宋" w:cs="Times New Roman"/>
          <w:color w:val="auto"/>
          <w:spacing w:val="4"/>
          <w:sz w:val="32"/>
          <w:szCs w:val="32"/>
          <w:lang w:val="en-US" w:eastAsia="zh-CN"/>
        </w:rPr>
        <w:t>4</w:t>
      </w:r>
      <w:r>
        <w:rPr>
          <w:rFonts w:hint="eastAsia" w:ascii="Times New Roman" w:hAnsi="Times New Roman" w:cs="Times New Roman"/>
          <w:color w:val="auto"/>
          <w:spacing w:val="4"/>
          <w:sz w:val="32"/>
          <w:szCs w:val="32"/>
          <w:lang w:val="en-US" w:eastAsia="zh-CN"/>
        </w:rPr>
        <w:t>,</w:t>
      </w:r>
      <w:r>
        <w:rPr>
          <w:rFonts w:hint="default" w:ascii="Times New Roman" w:hAnsi="Times New Roman" w:eastAsia="仿宋" w:cs="Times New Roman"/>
          <w:color w:val="auto"/>
          <w:spacing w:val="4"/>
          <w:sz w:val="32"/>
          <w:szCs w:val="32"/>
          <w:lang w:val="en-US" w:eastAsia="zh-CN"/>
        </w:rPr>
        <w:t>454.16</w:t>
      </w:r>
      <w:r>
        <w:rPr>
          <w:rFonts w:hint="default" w:ascii="Times New Roman" w:hAnsi="Times New Roman" w:eastAsia="仿宋" w:cs="Times New Roman"/>
          <w:color w:val="auto"/>
          <w:spacing w:val="4"/>
          <w:sz w:val="32"/>
          <w:szCs w:val="32"/>
        </w:rPr>
        <w:t>万元，其他资金0.00万元。</w:t>
      </w:r>
    </w:p>
    <w:p>
      <w:pPr>
        <w:numPr>
          <w:ilvl w:val="0"/>
          <w:numId w:val="0"/>
        </w:numPr>
        <w:spacing w:before="188" w:line="204" w:lineRule="auto"/>
        <w:ind w:left="0" w:leftChars="0" w:firstLine="659" w:firstLineChars="200"/>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kern w:val="2"/>
          <w:sz w:val="32"/>
          <w:szCs w:val="32"/>
          <w:lang w:val="en-US" w:eastAsia="zh-CN" w:bidi="ar-SA"/>
        </w:rPr>
        <w:t>（三）</w:t>
      </w:r>
      <w:r>
        <w:rPr>
          <w:rFonts w:hint="default" w:ascii="Times New Roman" w:hAnsi="Times New Roman" w:eastAsia="仿宋" w:cs="Times New Roman"/>
          <w:b/>
          <w:bCs/>
          <w:spacing w:val="4"/>
          <w:sz w:val="32"/>
          <w:szCs w:val="32"/>
        </w:rPr>
        <w:t>项目资金产出情况</w:t>
      </w:r>
    </w:p>
    <w:p>
      <w:pPr>
        <w:bidi w:val="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项目在数量指标方面、质量指标方面、时效指标方面和成本指标方面均达到了预计目标。很好的完成了各项绩效目标任务，</w:t>
      </w:r>
      <w:r>
        <w:rPr>
          <w:rFonts w:hint="default" w:ascii="Times New Roman" w:hAnsi="Times New Roman" w:eastAsia="仿宋" w:cs="Times New Roman"/>
          <w:sz w:val="32"/>
          <w:szCs w:val="32"/>
          <w:lang w:val="en-US" w:eastAsia="zh-CN"/>
        </w:rPr>
        <w:t>一年来，局党组认真落实中央、自治区关于信访工作决策部署，坚持以人民为中心，突出问题导向，采取有力措施，推动解决群众合理诉求，维护群众合法权益，各项工作取得明显成效。国务院副秘书长、国家信访局局长李文章到我区督导调研时，对我区信访工作给予高度评价</w:t>
      </w:r>
      <w:r>
        <w:rPr>
          <w:rFonts w:hint="default" w:ascii="Times New Roman" w:hAnsi="Times New Roman" w:eastAsia="仿宋" w:cs="Times New Roman"/>
          <w:sz w:val="32"/>
          <w:szCs w:val="32"/>
        </w:rPr>
        <w:t>。</w:t>
      </w:r>
    </w:p>
    <w:p>
      <w:pPr>
        <w:bidi w:val="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rPr>
        <w:t>项目资金管理情况</w:t>
      </w:r>
    </w:p>
    <w:p>
      <w:pPr>
        <w:bidi w:val="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部门整体资金</w:t>
      </w:r>
      <w:r>
        <w:rPr>
          <w:rFonts w:hint="default" w:ascii="Times New Roman" w:hAnsi="Times New Roman" w:eastAsia="仿宋" w:cs="Times New Roman"/>
          <w:sz w:val="32"/>
          <w:szCs w:val="32"/>
        </w:rPr>
        <w:t>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numPr>
          <w:ilvl w:val="0"/>
          <w:numId w:val="1"/>
        </w:numPr>
        <w:spacing w:line="240" w:lineRule="auto"/>
        <w:ind w:left="0" w:firstLine="0" w:firstLineChars="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项目绩效情况</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产出指标完成情况</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1、数量指标</w:t>
      </w:r>
    </w:p>
    <w:p>
      <w:pPr>
        <w:spacing w:line="62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公务用车使用次数，目标值</w:t>
      </w:r>
      <w:r>
        <w:rPr>
          <w:rFonts w:hint="eastAsia" w:ascii="Times New Roman" w:hAnsi="Times New Roman" w:cs="Times New Roman"/>
          <w:sz w:val="32"/>
          <w:szCs w:val="32"/>
          <w:lang w:val="en-US" w:eastAsia="zh-CN"/>
        </w:rPr>
        <w:t>大于等于900</w:t>
      </w:r>
      <w:r>
        <w:rPr>
          <w:rFonts w:hint="default" w:ascii="Times New Roman" w:hAnsi="Times New Roman" w:eastAsia="仿宋" w:cs="Times New Roman"/>
          <w:sz w:val="32"/>
          <w:szCs w:val="32"/>
        </w:rPr>
        <w:t>次，</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900</w:t>
      </w:r>
      <w:r>
        <w:rPr>
          <w:rFonts w:hint="default" w:ascii="Times New Roman" w:hAnsi="Times New Roman" w:eastAsia="仿宋" w:cs="Times New Roman"/>
          <w:sz w:val="32"/>
          <w:szCs w:val="32"/>
        </w:rPr>
        <w:t>次，分值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办公楼全年正常运转时长，目标值</w:t>
      </w:r>
      <w:r>
        <w:rPr>
          <w:rFonts w:hint="eastAsia" w:ascii="Times New Roman" w:hAnsi="Times New Roman" w:cs="Times New Roman"/>
          <w:sz w:val="32"/>
          <w:szCs w:val="32"/>
          <w:lang w:val="en-US" w:eastAsia="zh-CN"/>
        </w:rPr>
        <w:t>大于等于360天</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360天</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2、质量指标</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会议出勤率，目标值</w:t>
      </w:r>
      <w:r>
        <w:rPr>
          <w:rFonts w:hint="eastAsia" w:ascii="Times New Roman" w:hAnsi="Times New Roman" w:cs="Times New Roman"/>
          <w:sz w:val="32"/>
          <w:szCs w:val="32"/>
          <w:lang w:val="en-US" w:eastAsia="zh-CN"/>
        </w:rPr>
        <w:t>大于等于100%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设备无故障率，目标值</w:t>
      </w:r>
      <w:r>
        <w:rPr>
          <w:rFonts w:hint="eastAsia" w:ascii="Times New Roman" w:hAnsi="Times New Roman" w:cs="Times New Roman"/>
          <w:sz w:val="32"/>
          <w:szCs w:val="32"/>
          <w:lang w:val="en-US" w:eastAsia="zh-CN"/>
        </w:rPr>
        <w:t>大于等于95%</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sz w:val="32"/>
          <w:szCs w:val="32"/>
        </w:rPr>
      </w:pP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3、时效指标</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公务用车平均使用时长，目标值</w:t>
      </w:r>
      <w:r>
        <w:rPr>
          <w:rFonts w:hint="eastAsia" w:ascii="Times New Roman" w:hAnsi="Times New Roman" w:cs="Times New Roman"/>
          <w:sz w:val="32"/>
          <w:szCs w:val="32"/>
          <w:lang w:val="en-US" w:eastAsia="zh-CN"/>
        </w:rPr>
        <w:t>大于等于35</w:t>
      </w:r>
      <w:r>
        <w:rPr>
          <w:rFonts w:hint="default" w:ascii="Times New Roman" w:hAnsi="Times New Roman" w:eastAsia="仿宋" w:cs="Times New Roman"/>
          <w:sz w:val="32"/>
          <w:szCs w:val="32"/>
        </w:rPr>
        <w:t>分钟，</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40</w:t>
      </w:r>
      <w:r>
        <w:rPr>
          <w:rFonts w:hint="default" w:ascii="Times New Roman" w:hAnsi="Times New Roman" w:eastAsia="仿宋" w:cs="Times New Roman"/>
          <w:sz w:val="32"/>
          <w:szCs w:val="32"/>
        </w:rPr>
        <w:t>分钟，分值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，得分5。</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6</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按合同条款支付及时率，目标值</w:t>
      </w:r>
      <w:r>
        <w:rPr>
          <w:rFonts w:hint="eastAsia" w:ascii="Times New Roman" w:hAnsi="Times New Roman" w:cs="Times New Roman"/>
          <w:sz w:val="32"/>
          <w:szCs w:val="32"/>
          <w:lang w:val="en-US" w:eastAsia="zh-CN"/>
        </w:rPr>
        <w:t>大于等于100%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，得分5。</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4、成本指标</w:t>
      </w:r>
    </w:p>
    <w:p>
      <w:pPr>
        <w:spacing w:line="620" w:lineRule="exact"/>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印刷费用标准，目标值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40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highlight w:val="yellow"/>
          <w:lang w:val="en-US" w:eastAsia="zh-CN"/>
        </w:rPr>
        <w:t>32.50</w:t>
      </w:r>
      <w:r>
        <w:rPr>
          <w:rFonts w:hint="default" w:ascii="Times New Roman" w:hAnsi="Times New Roman" w:eastAsia="仿宋" w:cs="Times New Roman"/>
          <w:sz w:val="32"/>
          <w:szCs w:val="32"/>
        </w:rPr>
        <w:t>万元，分值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b/>
          <w:bCs/>
          <w:sz w:val="32"/>
          <w:szCs w:val="32"/>
          <w:lang w:eastAsia="zh-CN"/>
        </w:rPr>
      </w:pPr>
      <w:r>
        <w:rPr>
          <w:rFonts w:hint="eastAsia" w:ascii="Times New Roman" w:hAnsi="Times New Roman" w:cs="Times New Roman"/>
          <w:sz w:val="32"/>
          <w:szCs w:val="32"/>
          <w:lang w:val="en-US" w:eastAsia="zh-CN"/>
        </w:rPr>
        <w:t>8</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维修费用支出，目标值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小于</w:t>
      </w:r>
      <w:r>
        <w:rPr>
          <w:rFonts w:hint="eastAsia" w:ascii="Times New Roman" w:hAnsi="Times New Roman" w:cs="Times New Roman"/>
          <w:sz w:val="32"/>
          <w:szCs w:val="32"/>
          <w:lang w:val="en-US" w:eastAsia="zh-CN"/>
        </w:rPr>
        <w:t>35万元</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36.51万元</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，得分5。</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二</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效益指标完成情况</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5、经济效益</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9</w:t>
      </w:r>
      <w:r>
        <w:rPr>
          <w:rFonts w:hint="default" w:ascii="Times New Roman" w:hAnsi="Times New Roman" w:cs="Times New Roman"/>
          <w:sz w:val="32"/>
          <w:szCs w:val="32"/>
          <w:lang w:val="en-US" w:eastAsia="zh-CN"/>
        </w:rPr>
        <w:t>）购置设备合格率</w:t>
      </w:r>
      <w:r>
        <w:rPr>
          <w:rFonts w:hint="eastAsia" w:ascii="Times New Roman" w:hAnsi="Times New Roman" w:cs="Times New Roman"/>
          <w:sz w:val="32"/>
          <w:szCs w:val="32"/>
          <w:lang w:val="en-US" w:eastAsia="zh-CN"/>
        </w:rPr>
        <w:t>，</w:t>
      </w:r>
      <w:r>
        <w:rPr>
          <w:rFonts w:hint="default" w:ascii="Times New Roman" w:hAnsi="Times New Roman" w:eastAsia="仿宋" w:cs="Times New Roman"/>
          <w:sz w:val="32"/>
          <w:szCs w:val="32"/>
        </w:rPr>
        <w:t>目标值</w:t>
      </w:r>
      <w:r>
        <w:rPr>
          <w:rFonts w:hint="eastAsia" w:ascii="Times New Roman" w:hAnsi="Times New Roman" w:cs="Times New Roman"/>
          <w:sz w:val="32"/>
          <w:szCs w:val="32"/>
          <w:lang w:val="en-US" w:eastAsia="zh-CN"/>
        </w:rPr>
        <w:t>大于等于100%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sz w:val="32"/>
          <w:szCs w:val="32"/>
          <w:lang w:val="en-US" w:eastAsia="zh-CN"/>
        </w:rPr>
      </w:pP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职工工资按时发放率，目标值</w:t>
      </w:r>
      <w:r>
        <w:rPr>
          <w:rFonts w:hint="eastAsia" w:ascii="Times New Roman" w:hAnsi="Times New Roman" w:cs="Times New Roman"/>
          <w:sz w:val="32"/>
          <w:szCs w:val="32"/>
          <w:lang w:val="en-US" w:eastAsia="zh-CN"/>
        </w:rPr>
        <w:t>大于等于100%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，得分5。</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6、社会效益</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11</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设备实施完好率，目标值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90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完成100%，分值1</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，得分1</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物业服务管理检查覆盖率，目标值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，得分5。</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7、生态效益</w:t>
      </w:r>
    </w:p>
    <w:p>
      <w:pPr>
        <w:spacing w:line="620" w:lineRule="exact"/>
        <w:rPr>
          <w:rFonts w:hint="eastAsia" w:ascii="Times New Roman" w:hAnsi="Times New Roman" w:eastAsia="仿宋" w:cs="Times New Roman"/>
          <w:sz w:val="32"/>
          <w:szCs w:val="32"/>
          <w:lang w:eastAsia="zh-CN"/>
        </w:rPr>
      </w:pPr>
      <w:r>
        <w:rPr>
          <w:rFonts w:hint="eastAsia" w:ascii="Times New Roman" w:hAnsi="Times New Roman" w:cs="Times New Roman"/>
          <w:sz w:val="32"/>
          <w:szCs w:val="32"/>
          <w:lang w:val="en-US" w:eastAsia="zh-CN"/>
        </w:rPr>
        <w:t>13</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办公楼空气达标率</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8、可持续影响</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14</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提高信访政策知晓率，目标值</w:t>
      </w:r>
      <w:r>
        <w:rPr>
          <w:rFonts w:hint="eastAsia" w:ascii="Times New Roman" w:hAnsi="Times New Roman" w:cs="Times New Roman"/>
          <w:sz w:val="32"/>
          <w:szCs w:val="32"/>
          <w:lang w:val="en-US" w:eastAsia="zh-CN"/>
        </w:rPr>
        <w:t>定性优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，分值5，得分5。</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三</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满意度指标完成情况</w:t>
      </w:r>
    </w:p>
    <w:p>
      <w:pPr>
        <w:spacing w:line="620" w:lineRule="exact"/>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9、服务对象满意度</w:t>
      </w:r>
    </w:p>
    <w:p>
      <w:pPr>
        <w:spacing w:line="620" w:lineRule="exact"/>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15</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培训人员满意度，目标值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%，分值10，得分</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w:t>
      </w:r>
    </w:p>
    <w:p>
      <w:pPr>
        <w:spacing w:line="620" w:lineRule="exact"/>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自评得分情况</w:t>
      </w:r>
    </w:p>
    <w:p>
      <w:pPr>
        <w:spacing w:line="620" w:lineRule="exact"/>
        <w:ind w:left="0" w:leftChars="0"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本项目绩效自评得分</w:t>
      </w:r>
      <w:bookmarkStart w:id="0" w:name="_GoBack"/>
      <w:r>
        <w:rPr>
          <w:rFonts w:hint="default" w:ascii="Times New Roman" w:hAnsi="Times New Roman" w:eastAsia="仿宋" w:cs="Times New Roman"/>
          <w:sz w:val="32"/>
          <w:szCs w:val="32"/>
          <w:highlight w:val="yellow"/>
        </w:rPr>
        <w:t>94.79</w:t>
      </w:r>
      <w:bookmarkEnd w:id="0"/>
      <w:r>
        <w:rPr>
          <w:rFonts w:hint="default" w:ascii="Times New Roman" w:hAnsi="Times New Roman" w:eastAsia="仿宋" w:cs="Times New Roman"/>
          <w:sz w:val="32"/>
          <w:szCs w:val="32"/>
        </w:rPr>
        <w:t>分，等级为A</w:t>
      </w:r>
      <w:r>
        <w:rPr>
          <w:rFonts w:hint="default" w:ascii="Times New Roman" w:hAnsi="Times New Roman" w:eastAsia="仿宋" w:cs="Times New Roman"/>
          <w:sz w:val="32"/>
          <w:szCs w:val="32"/>
          <w:lang w:eastAsia="zh-CN"/>
        </w:rPr>
        <w:t>。</w:t>
      </w:r>
    </w:p>
    <w:p>
      <w:pPr>
        <w:keepNext w:val="0"/>
        <w:keepLines w:val="0"/>
        <w:pageBreakBefore w:val="0"/>
        <w:numPr>
          <w:ilvl w:val="0"/>
          <w:numId w:val="1"/>
        </w:numPr>
        <w:wordWrap/>
        <w:overflowPunct/>
        <w:topLinePunct w:val="0"/>
        <w:bidi w:val="0"/>
        <w:spacing w:line="560" w:lineRule="exact"/>
        <w:ind w:left="0" w:firstLine="0" w:firstLineChars="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存在</w:t>
      </w:r>
      <w:r>
        <w:rPr>
          <w:rFonts w:hint="default" w:ascii="Times New Roman" w:hAnsi="Times New Roman" w:eastAsia="仿宋" w:cs="Times New Roman"/>
          <w:b/>
          <w:sz w:val="32"/>
          <w:szCs w:val="32"/>
          <w:lang w:val="en-US" w:eastAsia="zh-CN"/>
        </w:rPr>
        <w:t>问题</w:t>
      </w:r>
    </w:p>
    <w:p>
      <w:pPr>
        <w:keepNext w:val="0"/>
        <w:keepLines w:val="0"/>
        <w:pageBreakBefore w:val="0"/>
        <w:wordWrap/>
        <w:overflowPunct/>
        <w:topLinePunct w:val="0"/>
        <w:bidi w:val="0"/>
        <w:spacing w:before="188" w:line="560" w:lineRule="exact"/>
        <w:ind w:firstLine="577"/>
        <w:rPr>
          <w:rFonts w:hint="default" w:ascii="Times New Roman" w:hAnsi="Times New Roman" w:eastAsia="仿宋" w:cs="Times New Roman"/>
          <w:b/>
          <w:bCs/>
          <w:sz w:val="32"/>
          <w:szCs w:val="32"/>
          <w:lang w:val="zh-CN" w:eastAsia="zh-CN"/>
        </w:rPr>
      </w:pPr>
      <w:r>
        <w:rPr>
          <w:rFonts w:hint="default" w:ascii="Times New Roman" w:hAnsi="Times New Roman" w:eastAsia="仿宋" w:cs="Times New Roman"/>
          <w:b/>
          <w:bCs/>
          <w:sz w:val="32"/>
          <w:szCs w:val="32"/>
          <w:lang w:eastAsia="zh-CN"/>
        </w:rPr>
        <w:t>（一）项目立项、实施存在问题</w:t>
      </w:r>
    </w:p>
    <w:p>
      <w:pPr>
        <w:keepNext w:val="0"/>
        <w:keepLines w:val="0"/>
        <w:pageBreakBefore w:val="0"/>
        <w:widowControl/>
        <w:suppressLineNumbers w:val="0"/>
        <w:wordWrap/>
        <w:overflowPunct/>
        <w:topLinePunct w:val="0"/>
        <w:bidi w:val="0"/>
        <w:spacing w:line="560" w:lineRule="exact"/>
        <w:jc w:val="left"/>
        <w:rPr>
          <w:rFonts w:hint="default" w:ascii="Times New Roman" w:hAnsi="Times New Roman" w:eastAsia="仿宋" w:cs="Times New Roman"/>
          <w:spacing w:val="1"/>
          <w:sz w:val="32"/>
          <w:szCs w:val="32"/>
          <w:lang w:val="en-US" w:eastAsia="zh-CN"/>
        </w:rPr>
      </w:pPr>
      <w:r>
        <w:rPr>
          <w:rFonts w:hint="default" w:ascii="Times New Roman" w:hAnsi="Times New Roman" w:eastAsia="仿宋" w:cs="Times New Roman"/>
          <w:spacing w:val="1"/>
          <w:sz w:val="32"/>
          <w:szCs w:val="32"/>
          <w:lang w:eastAsia="zh-CN"/>
        </w:rPr>
        <w:t>无。</w:t>
      </w:r>
    </w:p>
    <w:p>
      <w:pPr>
        <w:keepNext w:val="0"/>
        <w:keepLines w:val="0"/>
        <w:pageBreakBefore w:val="0"/>
        <w:wordWrap/>
        <w:overflowPunct/>
        <w:topLinePunct w:val="0"/>
        <w:bidi w:val="0"/>
        <w:spacing w:before="188" w:line="560" w:lineRule="exact"/>
        <w:ind w:firstLine="577"/>
        <w:rPr>
          <w:rFonts w:hint="default" w:ascii="Times New Roman" w:hAnsi="Times New Roman" w:eastAsia="仿宋" w:cs="Times New Roman"/>
          <w:b/>
          <w:bCs/>
          <w:sz w:val="32"/>
          <w:szCs w:val="32"/>
          <w:lang w:eastAsia="zh-CN"/>
        </w:rPr>
      </w:pPr>
      <w:r>
        <w:rPr>
          <w:rFonts w:hint="default" w:ascii="Times New Roman" w:hAnsi="Times New Roman" w:eastAsia="仿宋" w:cs="Times New Roman"/>
          <w:b/>
          <w:bCs/>
          <w:sz w:val="32"/>
          <w:szCs w:val="32"/>
          <w:lang w:eastAsia="zh-CN"/>
        </w:rPr>
        <w:t>（二）资金管理使用存在问题</w:t>
      </w:r>
    </w:p>
    <w:p>
      <w:pPr>
        <w:keepNext w:val="0"/>
        <w:keepLines w:val="0"/>
        <w:pageBreakBefore w:val="0"/>
        <w:widowControl/>
        <w:suppressLineNumbers w:val="0"/>
        <w:wordWrap/>
        <w:overflowPunct/>
        <w:topLinePunct w:val="0"/>
        <w:bidi w:val="0"/>
        <w:spacing w:line="560" w:lineRule="exact"/>
        <w:jc w:val="left"/>
        <w:rPr>
          <w:rFonts w:hint="default" w:ascii="Times New Roman" w:hAnsi="Times New Roman" w:eastAsia="仿宋" w:cs="Times New Roman"/>
          <w:spacing w:val="1"/>
          <w:sz w:val="32"/>
          <w:szCs w:val="32"/>
        </w:rPr>
      </w:pPr>
      <w:r>
        <w:rPr>
          <w:rFonts w:hint="default" w:ascii="Times New Roman" w:hAnsi="Times New Roman" w:eastAsia="仿宋" w:cs="Times New Roman"/>
          <w:spacing w:val="1"/>
          <w:sz w:val="32"/>
          <w:szCs w:val="32"/>
          <w:lang w:eastAsia="zh-CN"/>
        </w:rPr>
        <w:t>无。</w:t>
      </w:r>
    </w:p>
    <w:p>
      <w:pPr>
        <w:spacing w:line="240" w:lineRule="auto"/>
        <w:ind w:firstLine="0" w:firstLineChars="0"/>
        <w:rPr>
          <w:rFonts w:hint="default" w:ascii="Times New Roman" w:hAnsi="Times New Roman" w:eastAsia="仿宋" w:cs="Times New Roman"/>
          <w:b/>
          <w:sz w:val="32"/>
          <w:szCs w:val="32"/>
          <w:lang w:val="en-US" w:eastAsia="zh-CN"/>
        </w:rPr>
      </w:pPr>
      <w:r>
        <w:rPr>
          <w:rFonts w:hint="default" w:ascii="Times New Roman" w:hAnsi="Times New Roman" w:eastAsia="仿宋" w:cs="Times New Roman"/>
          <w:b/>
          <w:sz w:val="32"/>
          <w:szCs w:val="32"/>
        </w:rPr>
        <w:t>五、其他需要说明的</w:t>
      </w:r>
      <w:r>
        <w:rPr>
          <w:rFonts w:hint="default" w:ascii="Times New Roman" w:hAnsi="Times New Roman" w:eastAsia="仿宋" w:cs="Times New Roman"/>
          <w:b/>
          <w:sz w:val="32"/>
          <w:szCs w:val="32"/>
          <w:lang w:val="en-US" w:eastAsia="zh-CN"/>
        </w:rPr>
        <w:t>问题</w:t>
      </w:r>
    </w:p>
    <w:p>
      <w:pPr>
        <w:spacing w:before="188" w:line="204" w:lineRule="auto"/>
        <w:ind w:firstLine="577"/>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（一）后续工作计划</w:t>
      </w:r>
    </w:p>
    <w:p>
      <w:pPr>
        <w:bidi w:val="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本</w:t>
      </w:r>
      <w:r>
        <w:rPr>
          <w:rFonts w:hint="default" w:ascii="Times New Roman" w:hAnsi="Times New Roman" w:eastAsia="仿宋" w:cs="Times New Roman"/>
          <w:sz w:val="32"/>
          <w:szCs w:val="32"/>
        </w:rPr>
        <w:t>局领导</w:t>
      </w:r>
      <w:r>
        <w:rPr>
          <w:rFonts w:hint="eastAsia" w:ascii="Times New Roman" w:hAnsi="Times New Roman" w:cs="Times New Roman"/>
          <w:sz w:val="32"/>
          <w:szCs w:val="32"/>
          <w:lang w:val="en-US" w:eastAsia="zh-CN"/>
        </w:rPr>
        <w:t>将持续</w:t>
      </w:r>
      <w:r>
        <w:rPr>
          <w:rFonts w:hint="default" w:ascii="Times New Roman" w:hAnsi="Times New Roman" w:eastAsia="仿宋" w:cs="Times New Roman"/>
          <w:sz w:val="32"/>
          <w:szCs w:val="32"/>
        </w:rPr>
        <w:t>高度重视财务管理、绩效管理、决算组织、编报等，规范财务管理、绩效管理，按有关规定编制决算，审核，会签等。继续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bidi w:val="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（二）措施及办法</w:t>
      </w:r>
    </w:p>
    <w:p>
      <w:pPr>
        <w:bidi w:val="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强化预算编制工作，完善相关制度、提高项目实施过程的管理和监督，使项目顺利进行和保证质量；加强资金管理，确保资金使用规范、合理、专款专用。要继续深化绩效申报及自评工作，在不同项目核心绩效指标的细化、量化上下功夫，做到各级预算指标均能全面、科学地评价本部门项目资金运用情况，提高年初工作规划水平。从而提高财政资金支出的运行效率。</w:t>
      </w:r>
    </w:p>
    <w:p>
      <w:pPr>
        <w:bidi w:val="0"/>
        <w:rPr>
          <w:rFonts w:hint="default" w:ascii="Times New Roman" w:hAnsi="Times New Roman" w:eastAsia="仿宋" w:cs="Times New Roman"/>
          <w:sz w:val="32"/>
          <w:szCs w:val="32"/>
          <w:lang w:eastAsia="zh-CN"/>
        </w:rPr>
      </w:pPr>
    </w:p>
    <w:p>
      <w:pPr>
        <w:keepNext w:val="0"/>
        <w:keepLines w:val="0"/>
        <w:pageBreakBefore w:val="0"/>
        <w:widowControl/>
        <w:suppressLineNumbers w:val="0"/>
        <w:wordWrap/>
        <w:overflowPunct/>
        <w:topLinePunct w:val="0"/>
        <w:bidi w:val="0"/>
        <w:spacing w:line="560" w:lineRule="exact"/>
        <w:jc w:val="left"/>
        <w:rPr>
          <w:rFonts w:hint="default" w:ascii="Times New Roman" w:hAnsi="Times New Roman" w:eastAsia="仿宋" w:cs="Times New Roman"/>
          <w:spacing w:val="1"/>
          <w:sz w:val="32"/>
          <w:szCs w:val="32"/>
          <w:lang w:eastAsia="zh-CN"/>
        </w:rPr>
      </w:pPr>
    </w:p>
    <w:p>
      <w:pPr>
        <w:keepNext w:val="0"/>
        <w:keepLines w:val="0"/>
        <w:pageBreakBefore w:val="0"/>
        <w:widowControl/>
        <w:suppressLineNumbers w:val="0"/>
        <w:wordWrap/>
        <w:overflowPunct/>
        <w:topLinePunct w:val="0"/>
        <w:bidi w:val="0"/>
        <w:spacing w:line="560" w:lineRule="exact"/>
        <w:jc w:val="righ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内蒙古自治区信访局</w:t>
      </w:r>
    </w:p>
    <w:p>
      <w:pPr>
        <w:keepNext w:val="0"/>
        <w:keepLines w:val="0"/>
        <w:pageBreakBefore w:val="0"/>
        <w:widowControl/>
        <w:suppressLineNumbers w:val="0"/>
        <w:wordWrap/>
        <w:overflowPunct/>
        <w:topLinePunct w:val="0"/>
        <w:bidi w:val="0"/>
        <w:spacing w:line="560" w:lineRule="exact"/>
        <w:jc w:val="right"/>
        <w:rPr>
          <w:rFonts w:hint="default" w:ascii="Times New Roman" w:hAnsi="Times New Roman" w:eastAsia="仿宋" w:cs="Times New Roman"/>
          <w:b w:val="0"/>
          <w:bCs/>
          <w:sz w:val="32"/>
          <w:szCs w:val="32"/>
          <w:lang w:val="en-US" w:eastAsia="zh-CN"/>
        </w:rPr>
      </w:pPr>
      <w:r>
        <w:rPr>
          <w:rFonts w:hint="default" w:ascii="Times New Roman" w:hAnsi="Times New Roman" w:eastAsia="仿宋" w:cs="Times New Roman"/>
          <w:b w:val="0"/>
          <w:bCs/>
          <w:sz w:val="32"/>
          <w:szCs w:val="32"/>
          <w:lang w:val="en-US" w:eastAsia="zh-CN"/>
        </w:rPr>
        <w:t>202</w:t>
      </w:r>
      <w:r>
        <w:rPr>
          <w:rFonts w:hint="eastAsia" w:ascii="Times New Roman" w:hAnsi="Times New Roman" w:cs="Times New Roman"/>
          <w:b w:val="0"/>
          <w:bCs/>
          <w:sz w:val="32"/>
          <w:szCs w:val="32"/>
          <w:lang w:val="en-US" w:eastAsia="zh-CN"/>
        </w:rPr>
        <w:t>4</w:t>
      </w:r>
      <w:r>
        <w:rPr>
          <w:rFonts w:hint="default" w:ascii="Times New Roman" w:hAnsi="Times New Roman" w:eastAsia="仿宋" w:cs="Times New Roman"/>
          <w:b w:val="0"/>
          <w:bCs/>
          <w:sz w:val="32"/>
          <w:szCs w:val="32"/>
          <w:lang w:val="en-US" w:eastAsia="zh-CN"/>
        </w:rPr>
        <w:t>年</w:t>
      </w:r>
      <w:r>
        <w:rPr>
          <w:rFonts w:hint="eastAsia" w:ascii="Times New Roman" w:hAnsi="Times New Roman" w:cs="Times New Roman"/>
          <w:b w:val="0"/>
          <w:bCs/>
          <w:sz w:val="32"/>
          <w:szCs w:val="32"/>
          <w:lang w:val="en-US" w:eastAsia="zh-CN"/>
        </w:rPr>
        <w:t>3</w:t>
      </w:r>
      <w:r>
        <w:rPr>
          <w:rFonts w:hint="default" w:ascii="Times New Roman" w:hAnsi="Times New Roman" w:eastAsia="仿宋" w:cs="Times New Roman"/>
          <w:b w:val="0"/>
          <w:bCs/>
          <w:sz w:val="32"/>
          <w:szCs w:val="32"/>
          <w:lang w:val="en-US" w:eastAsia="zh-CN"/>
        </w:rPr>
        <w:t>月</w:t>
      </w:r>
      <w:r>
        <w:rPr>
          <w:rFonts w:hint="eastAsia" w:ascii="Times New Roman" w:hAnsi="Times New Roman" w:cs="Times New Roman"/>
          <w:b w:val="0"/>
          <w:bCs/>
          <w:sz w:val="32"/>
          <w:szCs w:val="32"/>
          <w:lang w:val="en-US" w:eastAsia="zh-CN"/>
        </w:rPr>
        <w:t>3</w:t>
      </w:r>
      <w:r>
        <w:rPr>
          <w:rFonts w:hint="default" w:ascii="Times New Roman" w:hAnsi="Times New Roman" w:eastAsia="仿宋" w:cs="Times New Roman"/>
          <w:b w:val="0"/>
          <w:bCs/>
          <w:sz w:val="32"/>
          <w:szCs w:val="32"/>
          <w:lang w:val="en-US" w:eastAsia="zh-CN"/>
        </w:rPr>
        <w:t>1日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p>
  </w:endnote>
  <w:endnote w:type="continuationSeparator" w:id="1">
    <w:p>
      <w:pPr>
        <w:spacing w:line="240" w:lineRule="auto"/>
        <w:ind w:firstLine="6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8F8E6A63-F105-4BB5-80C4-4E53FDFAE4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p>
  </w:footnote>
  <w:footnote w:type="continuationSeparator" w:id="1">
    <w:p>
      <w:pPr>
        <w:spacing w:line="240" w:lineRule="auto"/>
        <w:ind w:firstLine="60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4BB1F1"/>
    <w:multiLevelType w:val="multilevel"/>
    <w:tmpl w:val="994BB1F1"/>
    <w:lvl w:ilvl="0" w:tentative="0">
      <w:start w:val="1"/>
      <w:numFmt w:val="japaneseCounting"/>
      <w:lvlText w:val="%1、"/>
      <w:lvlJc w:val="left"/>
      <w:pPr>
        <w:ind w:left="1310" w:hanging="720"/>
      </w:pPr>
      <w:rPr>
        <w:rFonts w:hint="default"/>
      </w:rPr>
    </w:lvl>
    <w:lvl w:ilvl="1" w:tentative="0">
      <w:start w:val="1"/>
      <w:numFmt w:val="lowerLetter"/>
      <w:lvlText w:val="%2)"/>
      <w:lvlJc w:val="left"/>
      <w:pPr>
        <w:ind w:left="1430" w:hanging="420"/>
      </w:pPr>
    </w:lvl>
    <w:lvl w:ilvl="2" w:tentative="0">
      <w:start w:val="1"/>
      <w:numFmt w:val="lowerRoman"/>
      <w:lvlText w:val="%3."/>
      <w:lvlJc w:val="right"/>
      <w:pPr>
        <w:ind w:left="1850" w:hanging="420"/>
      </w:pPr>
    </w:lvl>
    <w:lvl w:ilvl="3" w:tentative="0">
      <w:start w:val="1"/>
      <w:numFmt w:val="decimal"/>
      <w:lvlText w:val="%4."/>
      <w:lvlJc w:val="left"/>
      <w:pPr>
        <w:ind w:left="2270" w:hanging="420"/>
      </w:pPr>
    </w:lvl>
    <w:lvl w:ilvl="4" w:tentative="0">
      <w:start w:val="1"/>
      <w:numFmt w:val="lowerLetter"/>
      <w:lvlText w:val="%5)"/>
      <w:lvlJc w:val="left"/>
      <w:pPr>
        <w:ind w:left="2690" w:hanging="420"/>
      </w:pPr>
    </w:lvl>
    <w:lvl w:ilvl="5" w:tentative="0">
      <w:start w:val="1"/>
      <w:numFmt w:val="lowerRoman"/>
      <w:lvlText w:val="%6."/>
      <w:lvlJc w:val="right"/>
      <w:pPr>
        <w:ind w:left="3110" w:hanging="420"/>
      </w:pPr>
    </w:lvl>
    <w:lvl w:ilvl="6" w:tentative="0">
      <w:start w:val="1"/>
      <w:numFmt w:val="decimal"/>
      <w:lvlText w:val="%7."/>
      <w:lvlJc w:val="left"/>
      <w:pPr>
        <w:ind w:left="3530" w:hanging="420"/>
      </w:pPr>
    </w:lvl>
    <w:lvl w:ilvl="7" w:tentative="0">
      <w:start w:val="1"/>
      <w:numFmt w:val="lowerLetter"/>
      <w:lvlText w:val="%8)"/>
      <w:lvlJc w:val="left"/>
      <w:pPr>
        <w:ind w:left="3950" w:hanging="420"/>
      </w:pPr>
    </w:lvl>
    <w:lvl w:ilvl="8" w:tentative="0">
      <w:start w:val="1"/>
      <w:numFmt w:val="lowerRoman"/>
      <w:lvlText w:val="%9."/>
      <w:lvlJc w:val="right"/>
      <w:pPr>
        <w:ind w:left="437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lODNiNmYxOTc3YzAwNmMzZDY2MjUzNzAzNjI0ZDY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C2244D"/>
    <w:rsid w:val="049C7DEF"/>
    <w:rsid w:val="04A96372"/>
    <w:rsid w:val="04C2697B"/>
    <w:rsid w:val="04ED064B"/>
    <w:rsid w:val="05156224"/>
    <w:rsid w:val="069550DB"/>
    <w:rsid w:val="06AB7BA4"/>
    <w:rsid w:val="07CB6A82"/>
    <w:rsid w:val="084D2748"/>
    <w:rsid w:val="0C062F64"/>
    <w:rsid w:val="0F0A7121"/>
    <w:rsid w:val="0F18115A"/>
    <w:rsid w:val="0F4B3357"/>
    <w:rsid w:val="0F6F185A"/>
    <w:rsid w:val="0FDC5FFD"/>
    <w:rsid w:val="0FFB69C1"/>
    <w:rsid w:val="10C42F37"/>
    <w:rsid w:val="1124113D"/>
    <w:rsid w:val="119A1B1B"/>
    <w:rsid w:val="136923D4"/>
    <w:rsid w:val="15BB6F18"/>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8E0795"/>
    <w:rsid w:val="291D29FD"/>
    <w:rsid w:val="2B223F6D"/>
    <w:rsid w:val="2B6F4C9D"/>
    <w:rsid w:val="2C5E2E59"/>
    <w:rsid w:val="2DE23A3A"/>
    <w:rsid w:val="2E8E1287"/>
    <w:rsid w:val="2F5E167A"/>
    <w:rsid w:val="300E3D77"/>
    <w:rsid w:val="30533016"/>
    <w:rsid w:val="30B80E03"/>
    <w:rsid w:val="33255290"/>
    <w:rsid w:val="333C7F24"/>
    <w:rsid w:val="33D877D8"/>
    <w:rsid w:val="35AE68A5"/>
    <w:rsid w:val="36CD16A7"/>
    <w:rsid w:val="38AA1DD4"/>
    <w:rsid w:val="38E64707"/>
    <w:rsid w:val="3A8859B9"/>
    <w:rsid w:val="3DE61665"/>
    <w:rsid w:val="3E1153AE"/>
    <w:rsid w:val="3E516972"/>
    <w:rsid w:val="3EE47779"/>
    <w:rsid w:val="404969DC"/>
    <w:rsid w:val="40B53B29"/>
    <w:rsid w:val="41A437D2"/>
    <w:rsid w:val="43CB6518"/>
    <w:rsid w:val="43D60DED"/>
    <w:rsid w:val="44FE14DD"/>
    <w:rsid w:val="483260DA"/>
    <w:rsid w:val="49E56F9C"/>
    <w:rsid w:val="4A926FD7"/>
    <w:rsid w:val="4DD15688"/>
    <w:rsid w:val="4F070E89"/>
    <w:rsid w:val="4F374648"/>
    <w:rsid w:val="4F4451D2"/>
    <w:rsid w:val="51237888"/>
    <w:rsid w:val="51BA42A7"/>
    <w:rsid w:val="520F6E89"/>
    <w:rsid w:val="53203621"/>
    <w:rsid w:val="54DA00D3"/>
    <w:rsid w:val="554E0C20"/>
    <w:rsid w:val="55936BA1"/>
    <w:rsid w:val="568F07C7"/>
    <w:rsid w:val="57252998"/>
    <w:rsid w:val="59B56326"/>
    <w:rsid w:val="5A0C4685"/>
    <w:rsid w:val="5A553285"/>
    <w:rsid w:val="5AB43B01"/>
    <w:rsid w:val="5D55237F"/>
    <w:rsid w:val="5F12091C"/>
    <w:rsid w:val="5FB20796"/>
    <w:rsid w:val="5FBDFEA1"/>
    <w:rsid w:val="5FC44E2D"/>
    <w:rsid w:val="5FD626AD"/>
    <w:rsid w:val="604010EC"/>
    <w:rsid w:val="610E05D3"/>
    <w:rsid w:val="62215294"/>
    <w:rsid w:val="65FC618C"/>
    <w:rsid w:val="660310CC"/>
    <w:rsid w:val="66161B6A"/>
    <w:rsid w:val="66984919"/>
    <w:rsid w:val="66F07E69"/>
    <w:rsid w:val="671B478E"/>
    <w:rsid w:val="676F702D"/>
    <w:rsid w:val="6A582252"/>
    <w:rsid w:val="6AD82D16"/>
    <w:rsid w:val="6B464D38"/>
    <w:rsid w:val="6BDF3DCF"/>
    <w:rsid w:val="6C5075F1"/>
    <w:rsid w:val="6C670BB6"/>
    <w:rsid w:val="6DD40FF8"/>
    <w:rsid w:val="70ED2282"/>
    <w:rsid w:val="71565F3F"/>
    <w:rsid w:val="72502DE7"/>
    <w:rsid w:val="74114A65"/>
    <w:rsid w:val="74DC7A51"/>
    <w:rsid w:val="753554DD"/>
    <w:rsid w:val="75A24B0F"/>
    <w:rsid w:val="76342904"/>
    <w:rsid w:val="76AB03E2"/>
    <w:rsid w:val="76D1210E"/>
    <w:rsid w:val="77AC22DD"/>
    <w:rsid w:val="77B83789"/>
    <w:rsid w:val="78691D8F"/>
    <w:rsid w:val="78F52A46"/>
    <w:rsid w:val="793C6850"/>
    <w:rsid w:val="7ABC43C8"/>
    <w:rsid w:val="7B4463C6"/>
    <w:rsid w:val="7CA67A3C"/>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spacing w:line="240" w:lineRule="auto"/>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autoRedefine/>
    <w:qFormat/>
    <w:uiPriority w:val="99"/>
    <w:pPr>
      <w:widowControl/>
      <w:jc w:val="left"/>
    </w:pPr>
    <w:rPr>
      <w:rFonts w:ascii="宋体" w:hAnsi="宋体" w:cs="宋体"/>
      <w:kern w:val="0"/>
      <w:sz w:val="24"/>
    </w:rPr>
  </w:style>
  <w:style w:type="character" w:customStyle="1" w:styleId="8">
    <w:name w:val="页眉 字符"/>
    <w:basedOn w:val="7"/>
    <w:link w:val="3"/>
    <w:autoRedefine/>
    <w:qFormat/>
    <w:uiPriority w:val="0"/>
    <w:rPr>
      <w:rFonts w:ascii="宋体" w:hAnsi="宋体"/>
      <w:kern w:val="2"/>
      <w:sz w:val="18"/>
      <w:szCs w:val="18"/>
    </w:rPr>
  </w:style>
  <w:style w:type="character" w:customStyle="1" w:styleId="9">
    <w:name w:val="页脚 字符"/>
    <w:basedOn w:val="7"/>
    <w:link w:val="2"/>
    <w:autoRedefine/>
    <w:qFormat/>
    <w:uiPriority w:val="0"/>
    <w:rPr>
      <w:rFonts w:ascii="宋体" w:hAnsi="宋体"/>
      <w:kern w:val="2"/>
      <w:sz w:val="18"/>
      <w:szCs w:val="18"/>
    </w:rPr>
  </w:style>
  <w:style w:type="paragraph" w:styleId="10">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1809</Words>
  <Characters>1921</Characters>
  <Lines>16</Lines>
  <Paragraphs>4</Paragraphs>
  <TotalTime>17</TotalTime>
  <ScaleCrop>false</ScaleCrop>
  <LinksUpToDate>false</LinksUpToDate>
  <CharactersWithSpaces>1921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Mé、o尐豬o</cp:lastModifiedBy>
  <dcterms:modified xsi:type="dcterms:W3CDTF">2024-04-03T08:06:53Z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2CF270DEABCC4AC0B2D61ED60F3256AC</vt:lpwstr>
  </property>
</Properties>
</file>